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8</w:t>
      </w:r>
    </w:p>
    <w:p w14:paraId="15731D69">
      <w:pPr>
        <w:jc w:val="center"/>
        <w:rPr>
          <w:rFonts w:hint="eastAsia" w:ascii="仿宋_GB2312" w:hAnsi="仿宋_GB2312" w:eastAsia="仿宋_GB2312"/>
          <w:snapToGrid w:val="0"/>
          <w:sz w:val="48"/>
          <w:szCs w:val="48"/>
        </w:rPr>
      </w:pPr>
    </w:p>
    <w:p w14:paraId="7E55834D">
      <w:pPr>
        <w:jc w:val="center"/>
        <w:rPr>
          <w:rFonts w:hint="default" w:ascii="仿宋_GB2312" w:hAnsi="仿宋_GB2312" w:eastAsia="仿宋_GB2312"/>
          <w:snapToGrid w:val="0"/>
          <w:sz w:val="48"/>
          <w:szCs w:val="48"/>
          <w:lang w:val="en-US" w:eastAsia="zh-CN"/>
        </w:rPr>
      </w:pPr>
      <w:r>
        <w:rPr>
          <w:rFonts w:hint="eastAsia" w:ascii="仿宋_GB2312" w:hAnsi="仿宋_GB2312" w:eastAsia="仿宋_GB2312"/>
          <w:snapToGrid w:val="0"/>
          <w:sz w:val="48"/>
          <w:szCs w:val="48"/>
        </w:rPr>
        <w:t>南京大学后勤服务集团</w:t>
      </w:r>
      <w:r>
        <w:rPr>
          <w:rFonts w:hint="eastAsia" w:ascii="仿宋_GB2312" w:hAnsi="仿宋_GB2312" w:eastAsia="仿宋_GB2312"/>
          <w:snapToGrid w:val="0"/>
          <w:sz w:val="48"/>
          <w:szCs w:val="48"/>
          <w:lang w:val="en-US" w:eastAsia="zh-CN"/>
        </w:rPr>
        <w:t>物业中心</w:t>
      </w:r>
      <w:r>
        <w:rPr>
          <w:rFonts w:hint="eastAsia" w:ascii="仿宋_GB2312" w:hAnsi="仿宋_GB2312" w:eastAsia="仿宋_GB2312"/>
          <w:snapToGrid w:val="0"/>
          <w:sz w:val="48"/>
          <w:szCs w:val="48"/>
        </w:rPr>
        <w:t>帐篷及配套保障物资采购项目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3"/>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7</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7"/>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南京大学后勤服务集团物业中心帐篷及配套保障物资采购项目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14"/>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南京大学后勤服务集团物业中心帐篷及配套保障物资采购项目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8</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赵</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025-89681663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13913892903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15万</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w:t>
            </w:r>
            <w:r>
              <w:rPr>
                <w:rFonts w:hint="eastAsia" w:ascii="仿宋_GB2312" w:hAnsi="仿宋_GB2312" w:eastAsia="仿宋_GB2312"/>
                <w:color w:val="auto"/>
                <w:sz w:val="28"/>
                <w:szCs w:val="28"/>
              </w:rPr>
              <w:t>20</w:t>
            </w:r>
            <w:r>
              <w:rPr>
                <w:rFonts w:hint="eastAsia" w:ascii="仿宋_GB2312" w:hAnsi="仿宋_GB2312" w:eastAsia="仿宋_GB2312"/>
                <w:color w:val="auto"/>
                <w:sz w:val="28"/>
                <w:szCs w:val="28"/>
                <w:lang w:val="en-US" w:eastAsia="zh-CN"/>
              </w:rPr>
              <w:t>26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21</w:t>
            </w:r>
            <w:r>
              <w:rPr>
                <w:rFonts w:hint="eastAsia" w:ascii="仿宋_GB2312" w:hAnsi="仿宋_GB2312" w:eastAsia="仿宋_GB2312"/>
                <w:color w:val="auto"/>
                <w:sz w:val="28"/>
                <w:szCs w:val="28"/>
              </w:rPr>
              <w:t>日1</w:t>
            </w:r>
            <w:r>
              <w:rPr>
                <w:rFonts w:hint="eastAsia" w:ascii="仿宋_GB2312" w:hAnsi="仿宋_GB2312" w:eastAsia="仿宋_GB2312"/>
                <w:color w:val="auto"/>
                <w:sz w:val="28"/>
                <w:szCs w:val="28"/>
                <w:lang w:val="en-US" w:eastAsia="zh-CN"/>
              </w:rPr>
              <w:t>7</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593513308</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hint="default" w:ascii="仿宋_GB2312" w:hAnsi="仿宋_GB2312" w:eastAsia="仿宋_GB2312"/>
                <w:sz w:val="28"/>
                <w:szCs w:val="28"/>
                <w:lang w:val="en-US" w:eastAsia="zh-CN"/>
              </w:rPr>
            </w:pPr>
            <w:r>
              <w:rPr>
                <w:rFonts w:hint="eastAsia" w:ascii="仿宋_GB2312" w:hAnsi="仿宋_GB2312" w:eastAsia="仿宋_GB2312"/>
                <w:sz w:val="28"/>
                <w:szCs w:val="28"/>
              </w:rPr>
              <w:t>响应文件</w:t>
            </w:r>
            <w:r>
              <w:rPr>
                <w:rFonts w:hint="eastAsia" w:ascii="仿宋_GB2312" w:hAnsi="仿宋_GB2312" w:eastAsia="仿宋_GB2312"/>
                <w:sz w:val="28"/>
                <w:szCs w:val="28"/>
                <w:lang w:val="en-US" w:eastAsia="zh-CN"/>
              </w:rPr>
              <w:t>及样板</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auto"/>
                <w:sz w:val="28"/>
                <w:szCs w:val="28"/>
              </w:rPr>
              <w:t>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27</w:t>
            </w:r>
            <w:r>
              <w:rPr>
                <w:rFonts w:hint="eastAsia" w:ascii="仿宋_GB2312" w:hAnsi="仿宋_GB2312" w:eastAsia="仿宋_GB2312"/>
                <w:color w:val="auto"/>
                <w:sz w:val="28"/>
                <w:szCs w:val="28"/>
              </w:rPr>
              <w:t>日</w:t>
            </w:r>
            <w:r>
              <w:rPr>
                <w:rFonts w:hint="eastAsia" w:ascii="仿宋_GB2312" w:hAnsi="仿宋_GB2312" w:eastAsia="仿宋_GB2312"/>
                <w:sz w:val="28"/>
                <w:szCs w:val="28"/>
              </w:rPr>
              <w:t>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14"/>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14"/>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296A9B7">
      <w:pPr>
        <w:snapToGrid w:val="0"/>
        <w:spacing w:line="288" w:lineRule="auto"/>
        <w:ind w:firstLine="482" w:firstLineChars="200"/>
        <w:rPr>
          <w:rFonts w:hint="eastAsia" w:ascii="仿宋_GB2312" w:hAnsi="仿宋_GB2312" w:eastAsia="仿宋_GB2312"/>
          <w:snapToGrid w:val="0"/>
          <w:sz w:val="24"/>
        </w:rPr>
      </w:pPr>
      <w:r>
        <w:rPr>
          <w:rFonts w:hint="eastAsia" w:ascii="仿宋_GB2312" w:hAnsi="仿宋_GB2312" w:eastAsia="仿宋_GB2312"/>
          <w:b/>
          <w:sz w:val="24"/>
        </w:rPr>
        <w:t>最低评标价法</w:t>
      </w:r>
      <w:r>
        <w:rPr>
          <w:rFonts w:hint="eastAsia" w:ascii="仿宋_GB2312" w:hAnsi="仿宋_GB2312" w:eastAsia="仿宋_GB2312"/>
          <w:snapToGrid w:val="0"/>
          <w:sz w:val="24"/>
        </w:rPr>
        <w:t>：</w:t>
      </w:r>
      <w:r>
        <w:rPr>
          <w:rFonts w:hint="eastAsia" w:ascii="仿宋_GB2312" w:hAnsi="仿宋_GB2312" w:eastAsia="仿宋_GB2312"/>
          <w:sz w:val="24"/>
        </w:rPr>
        <w:t>在全部满足采购文件实质性要求前提下，由评审委员会根据采购文件中规定的价格要素评定最低价，以提出最低报价的供应商作为成交候选人的评审方法。</w:t>
      </w:r>
    </w:p>
    <w:p w14:paraId="10FF93FE">
      <w:pPr>
        <w:widowControl/>
        <w:snapToGrid w:val="0"/>
        <w:spacing w:line="288" w:lineRule="auto"/>
        <w:ind w:firstLine="480" w:firstLineChars="200"/>
        <w:rPr>
          <w:rFonts w:hint="eastAsia" w:ascii="仿宋_GB2312" w:hAnsi="仿宋_GB2312" w:eastAsia="仿宋_GB2312"/>
          <w:snapToGrid w:val="0"/>
          <w:sz w:val="24"/>
        </w:rPr>
      </w:pPr>
    </w:p>
    <w:p w14:paraId="56A36441">
      <w:pPr>
        <w:numPr>
          <w:ilvl w:val="0"/>
          <w:numId w:val="3"/>
        </w:num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z w:val="24"/>
          <w:lang w:val="en-US" w:eastAsia="zh-CN"/>
        </w:rPr>
      </w:pPr>
      <w:r>
        <w:rPr>
          <w:rFonts w:hint="eastAsia" w:ascii="仿宋_GB2312" w:hAnsi="仿宋_GB2312" w:eastAsia="仿宋_GB2312"/>
          <w:b/>
          <w:sz w:val="24"/>
        </w:rPr>
        <w:t>评审</w:t>
      </w:r>
      <w:r>
        <w:rPr>
          <w:rFonts w:hint="eastAsia" w:ascii="仿宋_GB2312" w:hAnsi="仿宋_GB2312" w:eastAsia="仿宋_GB2312"/>
          <w:b/>
          <w:sz w:val="24"/>
          <w:lang w:val="en-US" w:eastAsia="zh-CN"/>
        </w:rPr>
        <w:t>细则</w:t>
      </w:r>
    </w:p>
    <w:p w14:paraId="0FD162AC">
      <w:pPr>
        <w:numPr>
          <w:ilvl w:val="0"/>
          <w:numId w:val="0"/>
        </w:numPr>
        <w:tabs>
          <w:tab w:val="left" w:pos="0"/>
          <w:tab w:val="left" w:pos="993"/>
          <w:tab w:val="left" w:pos="1134"/>
        </w:tabs>
        <w:adjustRightInd w:val="0"/>
        <w:snapToGrid w:val="0"/>
        <w:spacing w:line="288" w:lineRule="auto"/>
        <w:ind w:firstLine="480" w:firstLineChars="200"/>
        <w:rPr>
          <w:rFonts w:hint="eastAsia" w:ascii="仿宋_GB2312" w:hAnsi="仿宋_GB2312" w:eastAsia="仿宋_GB2312"/>
          <w:snapToGrid w:val="0"/>
          <w:sz w:val="24"/>
          <w:highlight w:val="none"/>
        </w:rPr>
      </w:pPr>
      <w:r>
        <w:rPr>
          <w:rFonts w:hint="eastAsia" w:ascii="仿宋_GB2312" w:hAnsi="仿宋_GB2312" w:eastAsia="仿宋_GB2312"/>
          <w:snapToGrid w:val="0"/>
          <w:sz w:val="24"/>
          <w:highlight w:val="none"/>
        </w:rPr>
        <w:t>一般技术参数</w:t>
      </w:r>
      <w:r>
        <w:rPr>
          <w:rFonts w:hint="eastAsia" w:ascii="仿宋_GB2312" w:hAnsi="仿宋_GB2312" w:eastAsia="仿宋_GB2312"/>
          <w:snapToGrid w:val="0"/>
          <w:sz w:val="24"/>
          <w:highlight w:val="none"/>
          <w:lang w:val="en-US" w:eastAsia="zh-CN"/>
        </w:rPr>
        <w:t>和</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lang w:val="en-US" w:eastAsia="zh-CN"/>
        </w:rPr>
        <w:t>▲</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条款未达到采购文件要求的（负偏离），则每一项增加报价总价的</w:t>
      </w:r>
      <w:r>
        <w:rPr>
          <w:rFonts w:hint="eastAsia" w:ascii="仿宋_GB2312" w:hAnsi="仿宋_GB2312" w:eastAsia="仿宋_GB2312"/>
          <w:snapToGrid w:val="0"/>
          <w:sz w:val="24"/>
          <w:highlight w:val="none"/>
          <w:lang w:val="en-US" w:eastAsia="zh-CN"/>
        </w:rPr>
        <w:t>5</w:t>
      </w:r>
      <w:r>
        <w:rPr>
          <w:rFonts w:hint="eastAsia" w:ascii="仿宋_GB2312" w:hAnsi="仿宋_GB2312" w:eastAsia="仿宋_GB2312"/>
          <w:snapToGrid w:val="0"/>
          <w:sz w:val="24"/>
          <w:highlight w:val="none"/>
        </w:rPr>
        <w:t>%；任何标</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的关键指标负偏离累计超过</w:t>
      </w:r>
      <w:r>
        <w:rPr>
          <w:rFonts w:hint="eastAsia" w:ascii="仿宋_GB2312" w:hAnsi="仿宋_GB2312" w:eastAsia="仿宋_GB2312"/>
          <w:snapToGrid w:val="0"/>
          <w:sz w:val="24"/>
          <w:highlight w:val="none"/>
          <w:lang w:val="en-US" w:eastAsia="zh-CN"/>
        </w:rPr>
        <w:t>1</w:t>
      </w:r>
      <w:r>
        <w:rPr>
          <w:rFonts w:hint="eastAsia" w:ascii="仿宋_GB2312" w:hAnsi="仿宋_GB2312" w:eastAsia="仿宋_GB2312"/>
          <w:snapToGrid w:val="0"/>
          <w:sz w:val="24"/>
          <w:highlight w:val="none"/>
        </w:rPr>
        <w:t>项（含</w:t>
      </w:r>
      <w:r>
        <w:rPr>
          <w:rFonts w:hint="eastAsia" w:ascii="仿宋_GB2312" w:hAnsi="仿宋_GB2312" w:eastAsia="仿宋_GB2312"/>
          <w:snapToGrid w:val="0"/>
          <w:sz w:val="24"/>
          <w:highlight w:val="none"/>
          <w:lang w:val="en-US" w:eastAsia="zh-CN"/>
        </w:rPr>
        <w:t>1</w:t>
      </w:r>
      <w:r>
        <w:rPr>
          <w:rFonts w:hint="eastAsia" w:ascii="仿宋_GB2312" w:hAnsi="仿宋_GB2312" w:eastAsia="仿宋_GB2312"/>
          <w:snapToGrid w:val="0"/>
          <w:sz w:val="24"/>
          <w:highlight w:val="none"/>
        </w:rPr>
        <w:t>项）</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将导致</w:t>
      </w:r>
      <w:r>
        <w:rPr>
          <w:rFonts w:hint="eastAsia" w:ascii="仿宋_GB2312" w:hAnsi="仿宋_GB2312" w:eastAsia="仿宋_GB2312"/>
          <w:sz w:val="24"/>
          <w:szCs w:val="28"/>
          <w:highlight w:val="none"/>
        </w:rPr>
        <w:t>响应无效</w:t>
      </w:r>
      <w:r>
        <w:rPr>
          <w:rFonts w:hint="eastAsia" w:ascii="仿宋_GB2312" w:hAnsi="仿宋_GB2312" w:eastAsia="仿宋_GB2312"/>
          <w:snapToGrid w:val="0"/>
          <w:sz w:val="24"/>
          <w:highlight w:val="none"/>
        </w:rPr>
        <w:t>。技术指标或商务条款存在缺项漏项的视为负偏离。</w:t>
      </w:r>
    </w:p>
    <w:p w14:paraId="4303C87B">
      <w:pPr>
        <w:numPr>
          <w:ilvl w:val="0"/>
          <w:numId w:val="0"/>
        </w:numPr>
        <w:tabs>
          <w:tab w:val="left" w:pos="0"/>
          <w:tab w:val="left" w:pos="993"/>
          <w:tab w:val="left" w:pos="1134"/>
        </w:tabs>
        <w:adjustRightInd w:val="0"/>
        <w:snapToGrid w:val="0"/>
        <w:spacing w:line="288" w:lineRule="auto"/>
        <w:ind w:firstLine="480" w:firstLineChars="200"/>
        <w:rPr>
          <w:rFonts w:hint="eastAsia" w:ascii="仿宋_GB2312" w:hAnsi="仿宋_GB2312" w:eastAsia="仿宋_GB2312"/>
          <w:snapToGrid w:val="0"/>
          <w:sz w:val="24"/>
          <w:highlight w:val="none"/>
          <w:lang w:val="en-US" w:eastAsia="zh-CN"/>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14"/>
        <w:ind w:firstLine="480" w:firstLineChars="200"/>
        <w:rPr>
          <w:rFonts w:hint="eastAsia" w:ascii="仿宋_GB2312" w:hAnsi="仿宋_GB2312" w:eastAsia="仿宋_GB2312"/>
          <w:bCs/>
          <w:sz w:val="24"/>
          <w:szCs w:val="28"/>
        </w:rPr>
      </w:pPr>
      <w:r>
        <w:rPr>
          <w:rFonts w:hint="eastAsia" w:ascii="仿宋_GB2312" w:hAnsi="仿宋_GB2312" w:eastAsia="仿宋_GB2312"/>
          <w:bCs/>
          <w:sz w:val="24"/>
          <w:szCs w:val="28"/>
        </w:rPr>
        <w:t>经评审的报价最低</w:t>
      </w:r>
      <w:r>
        <w:rPr>
          <w:rFonts w:hint="eastAsia" w:ascii="仿宋_GB2312" w:hAnsi="仿宋_GB2312" w:eastAsia="仿宋_GB2312"/>
          <w:snapToGrid w:val="0"/>
          <w:sz w:val="24"/>
          <w:lang w:val="en-US" w:eastAsia="zh-CN"/>
        </w:rPr>
        <w:t>（</w:t>
      </w:r>
      <w:r>
        <w:rPr>
          <w:rFonts w:hint="eastAsia" w:ascii="仿宋_GB2312" w:hAnsi="仿宋_GB2312" w:eastAsia="仿宋_GB2312"/>
          <w:b/>
          <w:bCs w:val="0"/>
          <w:sz w:val="24"/>
          <w:szCs w:val="28"/>
        </w:rPr>
        <w:t>最低评标价法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14"/>
        <w:rPr>
          <w:rFonts w:hint="eastAsia" w:ascii="仿宋_GB2312" w:hAnsi="仿宋_GB2312" w:eastAsia="仿宋_GB2312"/>
          <w:bCs/>
          <w:sz w:val="24"/>
          <w:szCs w:val="28"/>
        </w:rPr>
      </w:pPr>
    </w:p>
    <w:p w14:paraId="038D41F1">
      <w:pPr>
        <w:pStyle w:val="14"/>
        <w:rPr>
          <w:rFonts w:hint="eastAsia" w:ascii="仿宋_GB2312" w:hAnsi="仿宋_GB2312" w:eastAsia="仿宋_GB2312"/>
          <w:bCs/>
          <w:sz w:val="24"/>
          <w:szCs w:val="28"/>
        </w:rPr>
      </w:pPr>
    </w:p>
    <w:p w14:paraId="412127FB">
      <w:pPr>
        <w:pStyle w:val="14"/>
        <w:rPr>
          <w:rFonts w:hint="eastAsia" w:ascii="仿宋_GB2312" w:hAnsi="仿宋_GB2312" w:eastAsia="仿宋_GB2312"/>
          <w:bCs/>
          <w:sz w:val="24"/>
          <w:szCs w:val="28"/>
        </w:rPr>
      </w:pPr>
    </w:p>
    <w:p w14:paraId="0C90AF3A">
      <w:pPr>
        <w:pStyle w:val="14"/>
        <w:rPr>
          <w:rFonts w:hint="eastAsia" w:ascii="仿宋_GB2312" w:hAnsi="仿宋_GB2312" w:eastAsia="仿宋_GB2312"/>
          <w:bCs/>
          <w:sz w:val="24"/>
          <w:szCs w:val="28"/>
        </w:rPr>
      </w:pPr>
    </w:p>
    <w:p w14:paraId="63C04C6D">
      <w:pPr>
        <w:pStyle w:val="14"/>
        <w:rPr>
          <w:rFonts w:hint="eastAsia" w:ascii="仿宋_GB2312" w:hAnsi="仿宋_GB2312" w:eastAsia="仿宋_GB2312"/>
          <w:bCs/>
          <w:sz w:val="24"/>
          <w:szCs w:val="28"/>
        </w:rPr>
      </w:pPr>
    </w:p>
    <w:p w14:paraId="2700C145">
      <w:pPr>
        <w:pStyle w:val="14"/>
        <w:rPr>
          <w:rFonts w:hint="eastAsia" w:ascii="仿宋_GB2312" w:hAnsi="仿宋_GB2312" w:eastAsia="仿宋_GB2312"/>
          <w:bCs/>
          <w:sz w:val="24"/>
          <w:szCs w:val="28"/>
        </w:rPr>
      </w:pPr>
    </w:p>
    <w:p w14:paraId="626A96E3">
      <w:pPr>
        <w:pStyle w:val="14"/>
        <w:rPr>
          <w:rFonts w:hint="eastAsia" w:ascii="仿宋_GB2312" w:hAnsi="仿宋_GB2312" w:eastAsia="仿宋_GB2312"/>
          <w:bCs/>
          <w:sz w:val="24"/>
          <w:szCs w:val="28"/>
        </w:rPr>
      </w:pPr>
    </w:p>
    <w:p w14:paraId="25D13121">
      <w:pPr>
        <w:pStyle w:val="14"/>
        <w:rPr>
          <w:rFonts w:hint="eastAsia" w:ascii="仿宋_GB2312" w:hAnsi="仿宋_GB2312" w:eastAsia="仿宋_GB2312"/>
          <w:bCs/>
          <w:sz w:val="24"/>
          <w:szCs w:val="28"/>
        </w:rPr>
      </w:pPr>
    </w:p>
    <w:p w14:paraId="66B8CD4B">
      <w:pPr>
        <w:pStyle w:val="14"/>
        <w:rPr>
          <w:rFonts w:hint="eastAsia" w:ascii="仿宋_GB2312" w:hAnsi="仿宋_GB2312" w:eastAsia="仿宋_GB2312"/>
          <w:bCs/>
          <w:sz w:val="24"/>
          <w:szCs w:val="28"/>
        </w:rPr>
      </w:pPr>
    </w:p>
    <w:p w14:paraId="73A72F15">
      <w:pPr>
        <w:pStyle w:val="14"/>
        <w:rPr>
          <w:rFonts w:hint="eastAsia" w:ascii="仿宋_GB2312" w:hAnsi="仿宋_GB2312" w:eastAsia="仿宋_GB2312"/>
          <w:bCs/>
          <w:sz w:val="24"/>
          <w:szCs w:val="28"/>
        </w:rPr>
      </w:pPr>
    </w:p>
    <w:p w14:paraId="44E7368B">
      <w:pPr>
        <w:pStyle w:val="14"/>
        <w:rPr>
          <w:rFonts w:hint="eastAsia" w:ascii="仿宋_GB2312" w:hAnsi="仿宋_GB2312" w:eastAsia="仿宋_GB2312"/>
          <w:bCs/>
          <w:sz w:val="24"/>
          <w:szCs w:val="28"/>
        </w:rPr>
      </w:pPr>
    </w:p>
    <w:p w14:paraId="6AF9925F">
      <w:pPr>
        <w:pStyle w:val="14"/>
        <w:rPr>
          <w:rFonts w:hint="eastAsia" w:ascii="仿宋_GB2312" w:hAnsi="仿宋_GB2312" w:eastAsia="仿宋_GB2312"/>
          <w:bCs/>
          <w:sz w:val="24"/>
          <w:szCs w:val="28"/>
        </w:rPr>
      </w:pPr>
    </w:p>
    <w:p w14:paraId="44876B17">
      <w:pPr>
        <w:pStyle w:val="14"/>
        <w:rPr>
          <w:rFonts w:hint="eastAsia" w:ascii="仿宋_GB2312" w:hAnsi="仿宋_GB2312" w:eastAsia="仿宋_GB2312"/>
          <w:bCs/>
          <w:sz w:val="24"/>
          <w:szCs w:val="28"/>
        </w:rPr>
      </w:pPr>
    </w:p>
    <w:p w14:paraId="00C9B47D">
      <w:pPr>
        <w:pStyle w:val="14"/>
        <w:rPr>
          <w:rFonts w:hint="eastAsia" w:ascii="仿宋_GB2312" w:hAnsi="仿宋_GB2312" w:eastAsia="仿宋_GB2312"/>
          <w:bCs/>
          <w:sz w:val="24"/>
          <w:szCs w:val="28"/>
        </w:rPr>
      </w:pPr>
    </w:p>
    <w:p w14:paraId="3EA38B72">
      <w:pPr>
        <w:pStyle w:val="14"/>
        <w:rPr>
          <w:rFonts w:hint="eastAsia" w:ascii="仿宋_GB2312" w:hAnsi="仿宋_GB2312" w:eastAsia="仿宋_GB2312"/>
          <w:bCs/>
          <w:sz w:val="24"/>
          <w:szCs w:val="28"/>
        </w:rPr>
      </w:pPr>
    </w:p>
    <w:p w14:paraId="4E27F36C">
      <w:pPr>
        <w:pStyle w:val="14"/>
        <w:rPr>
          <w:rFonts w:hint="eastAsia" w:ascii="仿宋_GB2312" w:hAnsi="仿宋_GB2312" w:eastAsia="仿宋_GB2312"/>
          <w:bCs/>
          <w:sz w:val="24"/>
          <w:szCs w:val="28"/>
        </w:rPr>
      </w:pPr>
    </w:p>
    <w:p w14:paraId="26A868BD">
      <w:pPr>
        <w:pStyle w:val="14"/>
        <w:rPr>
          <w:rFonts w:hint="eastAsia" w:ascii="仿宋_GB2312" w:hAnsi="仿宋_GB2312" w:eastAsia="仿宋_GB2312"/>
          <w:bCs/>
          <w:sz w:val="24"/>
          <w:szCs w:val="28"/>
        </w:rPr>
      </w:pPr>
    </w:p>
    <w:p w14:paraId="731B83F2">
      <w:pPr>
        <w:pStyle w:val="14"/>
        <w:rPr>
          <w:rFonts w:hint="eastAsia" w:ascii="仿宋_GB2312" w:hAnsi="仿宋_GB2312" w:eastAsia="仿宋_GB2312"/>
          <w:bCs/>
          <w:sz w:val="24"/>
          <w:szCs w:val="28"/>
        </w:rPr>
      </w:pPr>
    </w:p>
    <w:p w14:paraId="659B4E45">
      <w:pPr>
        <w:pStyle w:val="14"/>
        <w:rPr>
          <w:rFonts w:hint="eastAsia" w:ascii="仿宋_GB2312" w:hAnsi="仿宋_GB2312" w:eastAsia="仿宋_GB2312"/>
          <w:bCs/>
          <w:sz w:val="24"/>
          <w:szCs w:val="28"/>
        </w:rPr>
      </w:pPr>
    </w:p>
    <w:p w14:paraId="7DEED62D">
      <w:pPr>
        <w:pStyle w:val="14"/>
        <w:rPr>
          <w:rFonts w:hint="eastAsia" w:ascii="仿宋_GB2312" w:hAnsi="仿宋_GB2312" w:eastAsia="仿宋_GB2312"/>
          <w:bCs/>
          <w:sz w:val="24"/>
          <w:szCs w:val="28"/>
        </w:rPr>
      </w:pPr>
    </w:p>
    <w:p w14:paraId="2E415C37">
      <w:pPr>
        <w:pStyle w:val="14"/>
        <w:rPr>
          <w:rFonts w:hint="eastAsia" w:ascii="仿宋_GB2312" w:hAnsi="仿宋_GB2312" w:eastAsia="仿宋_GB2312"/>
          <w:bCs/>
          <w:sz w:val="24"/>
          <w:szCs w:val="28"/>
        </w:rPr>
      </w:pPr>
    </w:p>
    <w:p w14:paraId="3159B53E">
      <w:pPr>
        <w:pStyle w:val="14"/>
        <w:rPr>
          <w:rFonts w:hint="eastAsia" w:ascii="仿宋_GB2312" w:hAnsi="仿宋_GB2312" w:eastAsia="仿宋_GB2312"/>
          <w:bCs/>
          <w:sz w:val="24"/>
          <w:szCs w:val="28"/>
        </w:rPr>
      </w:pPr>
    </w:p>
    <w:p w14:paraId="5F5F15D6">
      <w:pPr>
        <w:pStyle w:val="14"/>
        <w:rPr>
          <w:rFonts w:hint="eastAsia" w:ascii="仿宋_GB2312" w:hAnsi="仿宋_GB2312" w:eastAsia="仿宋_GB2312"/>
          <w:bCs/>
          <w:sz w:val="24"/>
          <w:szCs w:val="28"/>
        </w:rPr>
      </w:pPr>
    </w:p>
    <w:p w14:paraId="6E0F4B2C">
      <w:pPr>
        <w:pStyle w:val="6"/>
        <w:numPr>
          <w:ilvl w:val="0"/>
          <w:numId w:val="4"/>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4"/>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备注：1）请各单位尽量减少入校人数。</w:t>
      </w:r>
    </w:p>
    <w:p w14:paraId="2372697F">
      <w:pPr>
        <w:widowControl/>
        <w:numPr>
          <w:ilvl w:val="0"/>
          <w:numId w:val="5"/>
        </w:numPr>
        <w:snapToGrid w:val="0"/>
        <w:spacing w:line="288" w:lineRule="auto"/>
        <w:ind w:left="1200" w:leftChars="0" w:firstLine="0" w:firstLineChars="0"/>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rPr>
        <w:t>审核单位：</w:t>
      </w:r>
      <w:r>
        <w:rPr>
          <w:rFonts w:hint="eastAsia" w:ascii="仿宋_GB2312" w:hAnsi="仿宋_GB2312" w:eastAsia="仿宋_GB2312"/>
          <w:b/>
          <w:bCs/>
          <w:sz w:val="24"/>
          <w:szCs w:val="28"/>
          <w:lang w:val="en-US" w:eastAsia="zh-CN"/>
        </w:rPr>
        <w:t>后勤服务集团物业中心办公室</w:t>
      </w:r>
      <w:r>
        <w:rPr>
          <w:rFonts w:hint="eastAsia" w:ascii="仿宋_GB2312" w:hAnsi="仿宋_GB2312" w:eastAsia="仿宋_GB2312"/>
          <w:b/>
          <w:bCs/>
          <w:sz w:val="24"/>
          <w:szCs w:val="28"/>
        </w:rPr>
        <w:t>；审核人：</w:t>
      </w:r>
      <w:r>
        <w:rPr>
          <w:rFonts w:hint="eastAsia" w:ascii="仿宋_GB2312" w:hAnsi="仿宋_GB2312" w:eastAsia="仿宋_GB2312"/>
          <w:b/>
          <w:bCs/>
          <w:sz w:val="24"/>
          <w:szCs w:val="28"/>
          <w:lang w:val="en-US" w:eastAsia="zh-CN"/>
        </w:rPr>
        <w:t>房娟</w:t>
      </w:r>
      <w:r>
        <w:rPr>
          <w:rFonts w:hint="eastAsia" w:ascii="仿宋_GB2312" w:hAnsi="仿宋_GB2312" w:eastAsia="仿宋_GB2312"/>
          <w:b/>
          <w:bCs/>
          <w:sz w:val="24"/>
          <w:szCs w:val="28"/>
        </w:rPr>
        <w:t>。</w:t>
      </w:r>
      <w:r>
        <w:rPr>
          <w:rFonts w:hint="eastAsia" w:ascii="仿宋_GB2312" w:hAnsi="仿宋_GB2312" w:eastAsia="仿宋_GB2312"/>
          <w:b/>
          <w:bCs/>
          <w:sz w:val="24"/>
          <w:szCs w:val="28"/>
          <w:lang w:val="en-US" w:eastAsia="zh-CN"/>
        </w:rPr>
        <w:t>校内联系人：马卓然</w:t>
      </w:r>
    </w:p>
    <w:p w14:paraId="2B1F8FD5">
      <w:pPr>
        <w:widowControl/>
        <w:numPr>
          <w:ilvl w:val="0"/>
          <w:numId w:val="0"/>
        </w:numPr>
        <w:snapToGrid w:val="0"/>
        <w:spacing w:line="288" w:lineRule="auto"/>
        <w:ind w:firstLine="1205" w:firstLineChars="500"/>
        <w:rPr>
          <w:b/>
          <w:bCs/>
          <w:color w:val="auto"/>
        </w:rPr>
      </w:pPr>
      <w:r>
        <w:rPr>
          <w:rFonts w:hint="eastAsia" w:ascii="仿宋_GB2312" w:hAnsi="仿宋_GB2312" w:eastAsia="仿宋_GB2312"/>
          <w:b/>
          <w:bCs/>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6"/>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9"/>
        <w:ind w:left="0" w:leftChars="0" w:firstLine="0" w:firstLineChars="0"/>
        <w:rPr>
          <w:color w:val="auto"/>
        </w:rPr>
      </w:pPr>
    </w:p>
    <w:p w14:paraId="06B6F150">
      <w:pPr>
        <w:widowControl/>
        <w:snapToGrid w:val="0"/>
        <w:spacing w:line="360"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69140896">
      <w:pPr>
        <w:spacing w:line="360" w:lineRule="auto"/>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sz w:val="24"/>
          <w:szCs w:val="24"/>
        </w:rPr>
        <w:t>为全面提升</w:t>
      </w:r>
      <w:r>
        <w:rPr>
          <w:rFonts w:hint="eastAsia" w:ascii="仿宋" w:hAnsi="仿宋" w:eastAsia="仿宋"/>
          <w:sz w:val="24"/>
          <w:szCs w:val="24"/>
          <w:lang w:val="en-US" w:eastAsia="zh-CN"/>
        </w:rPr>
        <w:t>校内</w:t>
      </w:r>
      <w:r>
        <w:rPr>
          <w:rFonts w:hint="eastAsia" w:ascii="仿宋" w:hAnsi="仿宋" w:eastAsia="仿宋"/>
          <w:sz w:val="24"/>
          <w:szCs w:val="24"/>
        </w:rPr>
        <w:t>各类室外重大活动、迎新接待及校园文化展演等活动保障的服务</w:t>
      </w:r>
      <w:r>
        <w:rPr>
          <w:rFonts w:hint="eastAsia" w:ascii="仿宋" w:hAnsi="仿宋" w:eastAsia="仿宋"/>
          <w:sz w:val="24"/>
          <w:szCs w:val="24"/>
          <w:lang w:val="en-US" w:eastAsia="zh-CN"/>
        </w:rPr>
        <w:t>水平，拟补充</w:t>
      </w:r>
      <w:r>
        <w:rPr>
          <w:rFonts w:hint="eastAsia" w:ascii="仿宋" w:hAnsi="仿宋" w:eastAsia="仿宋"/>
          <w:sz w:val="24"/>
          <w:szCs w:val="24"/>
        </w:rPr>
        <w:t>户外帐篷、活动保障</w:t>
      </w:r>
      <w:r>
        <w:rPr>
          <w:rFonts w:ascii="仿宋" w:hAnsi="仿宋" w:eastAsia="仿宋"/>
          <w:sz w:val="24"/>
          <w:szCs w:val="24"/>
        </w:rPr>
        <w:t>桌椅</w:t>
      </w:r>
      <w:r>
        <w:rPr>
          <w:rFonts w:hint="eastAsia" w:ascii="仿宋" w:hAnsi="仿宋" w:eastAsia="仿宋"/>
          <w:sz w:val="24"/>
          <w:szCs w:val="24"/>
        </w:rPr>
        <w:t>及帐篷配件</w:t>
      </w:r>
      <w:r>
        <w:rPr>
          <w:rFonts w:hint="eastAsia" w:ascii="仿宋" w:hAnsi="仿宋" w:eastAsia="仿宋"/>
          <w:sz w:val="24"/>
          <w:szCs w:val="24"/>
          <w:lang w:val="en-US" w:eastAsia="zh-CN"/>
        </w:rPr>
        <w:t>等</w:t>
      </w:r>
      <w:r>
        <w:rPr>
          <w:rFonts w:hint="eastAsia" w:ascii="仿宋" w:hAnsi="仿宋" w:eastAsia="仿宋"/>
          <w:sz w:val="24"/>
          <w:szCs w:val="24"/>
        </w:rPr>
        <w:t>物资</w:t>
      </w:r>
      <w:r>
        <w:rPr>
          <w:rFonts w:hint="eastAsia" w:ascii="仿宋" w:hAnsi="仿宋" w:eastAsia="仿宋" w:cs="仿宋"/>
          <w:color w:val="000000" w:themeColor="text1"/>
          <w:sz w:val="24"/>
          <w:szCs w:val="24"/>
          <w:lang w:eastAsia="zh-CN"/>
          <w14:textFill>
            <w14:solidFill>
              <w14:schemeClr w14:val="tx1"/>
            </w14:solidFill>
          </w14:textFill>
        </w:rPr>
        <w:t>。</w:t>
      </w:r>
    </w:p>
    <w:p w14:paraId="5436E36C">
      <w:pPr>
        <w:spacing w:line="360" w:lineRule="auto"/>
        <w:ind w:firstLine="480" w:firstLineChars="200"/>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本项目确定供应商一家</w:t>
      </w:r>
      <w:r>
        <w:rPr>
          <w:rFonts w:hint="eastAsia" w:ascii="仿宋" w:hAnsi="仿宋" w:eastAsia="仿宋" w:cs="仿宋"/>
          <w:b w:val="0"/>
          <w:bCs w:val="0"/>
          <w:color w:val="000000" w:themeColor="text1"/>
          <w:sz w:val="24"/>
          <w:lang w:eastAsia="zh-CN"/>
          <w14:textFill>
            <w14:solidFill>
              <w14:schemeClr w14:val="tx1"/>
            </w14:solidFill>
          </w14:textFill>
        </w:rPr>
        <w:t>，</w:t>
      </w:r>
      <w:r>
        <w:rPr>
          <w:rFonts w:hint="eastAsia" w:ascii="仿宋" w:hAnsi="仿宋" w:eastAsia="仿宋" w:cs="仿宋"/>
          <w:b w:val="0"/>
          <w:bCs w:val="0"/>
          <w:color w:val="000000" w:themeColor="text1"/>
          <w:sz w:val="24"/>
          <w:lang w:val="en-US" w:eastAsia="zh-CN"/>
          <w14:textFill>
            <w14:solidFill>
              <w14:schemeClr w14:val="tx1"/>
            </w14:solidFill>
          </w14:textFill>
        </w:rPr>
        <w:t>预算总金额为人民币15万元</w:t>
      </w:r>
      <w:r>
        <w:rPr>
          <w:rFonts w:hint="eastAsia" w:ascii="仿宋" w:hAnsi="仿宋" w:eastAsia="仿宋" w:cs="仿宋"/>
          <w:b w:val="0"/>
          <w:bCs w:val="0"/>
          <w:color w:val="000000" w:themeColor="text1"/>
          <w:sz w:val="24"/>
          <w14:textFill>
            <w14:solidFill>
              <w14:schemeClr w14:val="tx1"/>
            </w14:solidFill>
          </w14:textFill>
        </w:rPr>
        <w:t>。</w:t>
      </w:r>
    </w:p>
    <w:p w14:paraId="7F87FA1B">
      <w:pPr>
        <w:spacing w:line="360" w:lineRule="auto"/>
        <w:ind w:firstLine="480" w:firstLineChars="200"/>
        <w:rPr>
          <w:rFonts w:hint="eastAsia" w:ascii="仿宋" w:hAnsi="仿宋" w:eastAsia="仿宋" w:cs="仿宋"/>
          <w:color w:val="000000" w:themeColor="text1"/>
          <w:sz w:val="24"/>
          <w:lang w:val="en-US" w:eastAsia="zh-CN"/>
          <w14:textFill>
            <w14:solidFill>
              <w14:schemeClr w14:val="tx1"/>
            </w14:solidFill>
          </w14:textFill>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7"/>
        <w:tblW w:w="61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2008"/>
        <w:gridCol w:w="1500"/>
        <w:gridCol w:w="1744"/>
        <w:gridCol w:w="3205"/>
      </w:tblGrid>
      <w:tr w14:paraId="4D8C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200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1500"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74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eastAsia" w:ascii="仿宋_GB2312" w:hAnsi="仿宋_GB2312" w:eastAsia="仿宋"/>
                <w:sz w:val="24"/>
                <w:szCs w:val="28"/>
                <w:lang w:val="en-US" w:eastAsia="zh-CN"/>
              </w:rPr>
            </w:pPr>
            <w:r>
              <w:rPr>
                <w:rFonts w:hint="eastAsia" w:ascii="仿宋" w:hAnsi="仿宋" w:eastAsia="仿宋" w:cs="仿宋"/>
                <w:b/>
                <w:bCs/>
                <w:color w:val="000000"/>
                <w:kern w:val="0"/>
                <w:sz w:val="24"/>
                <w:szCs w:val="24"/>
              </w:rPr>
              <w:t>最高单价限价</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lang w:val="en-US" w:eastAsia="zh-CN"/>
              </w:rPr>
              <w:t>元/单位</w:t>
            </w:r>
            <w:r>
              <w:rPr>
                <w:rFonts w:hint="eastAsia" w:ascii="仿宋" w:hAnsi="仿宋" w:eastAsia="仿宋" w:cs="仿宋"/>
                <w:b/>
                <w:bCs/>
                <w:color w:val="000000"/>
                <w:kern w:val="0"/>
                <w:sz w:val="24"/>
                <w:szCs w:val="24"/>
                <w:lang w:eastAsia="zh-CN"/>
              </w:rPr>
              <w:t>）</w:t>
            </w:r>
          </w:p>
        </w:tc>
        <w:tc>
          <w:tcPr>
            <w:tcW w:w="3205" w:type="dxa"/>
            <w:tcBorders>
              <w:top w:val="single" w:color="auto" w:sz="4" w:space="0"/>
              <w:left w:val="single" w:color="auto" w:sz="4" w:space="0"/>
              <w:bottom w:val="single" w:color="auto" w:sz="4" w:space="0"/>
              <w:right w:val="single" w:color="auto" w:sz="4" w:space="0"/>
            </w:tcBorders>
            <w:vAlign w:val="center"/>
          </w:tcPr>
          <w:p w14:paraId="08C9B990">
            <w:pPr>
              <w:widowControl/>
              <w:jc w:val="center"/>
              <w:textAlignment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其他要求</w:t>
            </w:r>
          </w:p>
        </w:tc>
      </w:tr>
      <w:tr w14:paraId="3722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1203" w:type="dxa"/>
            <w:tcBorders>
              <w:top w:val="single" w:color="auto" w:sz="4" w:space="0"/>
              <w:left w:val="single" w:color="auto" w:sz="4" w:space="0"/>
              <w:right w:val="single" w:color="auto" w:sz="4" w:space="0"/>
            </w:tcBorders>
            <w:vAlign w:val="center"/>
          </w:tcPr>
          <w:p w14:paraId="6899A43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w:t>
            </w:r>
          </w:p>
        </w:tc>
        <w:tc>
          <w:tcPr>
            <w:tcW w:w="2008" w:type="dxa"/>
            <w:tcBorders>
              <w:top w:val="single" w:color="auto" w:sz="4" w:space="0"/>
              <w:left w:val="single" w:color="auto" w:sz="4" w:space="0"/>
              <w:bottom w:val="single" w:color="auto" w:sz="4" w:space="0"/>
              <w:right w:val="single" w:color="auto" w:sz="4" w:space="0"/>
            </w:tcBorders>
            <w:vAlign w:val="center"/>
          </w:tcPr>
          <w:p w14:paraId="516C838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3M*3M米白色，印有南大后勤和南大记忆字样</w:t>
            </w:r>
          </w:p>
        </w:tc>
        <w:tc>
          <w:tcPr>
            <w:tcW w:w="1500" w:type="dxa"/>
            <w:tcBorders>
              <w:top w:val="single" w:color="auto" w:sz="4" w:space="0"/>
              <w:left w:val="single" w:color="auto" w:sz="4" w:space="0"/>
              <w:bottom w:val="single" w:color="auto" w:sz="4" w:space="0"/>
              <w:right w:val="single" w:color="auto" w:sz="4" w:space="0"/>
            </w:tcBorders>
            <w:vAlign w:val="center"/>
          </w:tcPr>
          <w:p w14:paraId="604D358F">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150个</w:t>
            </w:r>
          </w:p>
        </w:tc>
        <w:tc>
          <w:tcPr>
            <w:tcW w:w="1744" w:type="dxa"/>
            <w:tcBorders>
              <w:top w:val="single" w:color="auto" w:sz="4" w:space="0"/>
              <w:left w:val="single" w:color="auto" w:sz="4" w:space="0"/>
              <w:bottom w:val="single" w:color="auto" w:sz="4" w:space="0"/>
              <w:right w:val="single" w:color="auto" w:sz="4" w:space="0"/>
            </w:tcBorders>
            <w:vAlign w:val="center"/>
          </w:tcPr>
          <w:p w14:paraId="65B0499D">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85</w:t>
            </w:r>
          </w:p>
        </w:tc>
        <w:tc>
          <w:tcPr>
            <w:tcW w:w="3205" w:type="dxa"/>
            <w:vMerge w:val="restart"/>
            <w:tcBorders>
              <w:top w:val="single" w:color="auto" w:sz="4" w:space="0"/>
              <w:left w:val="single" w:color="auto" w:sz="4" w:space="0"/>
              <w:right w:val="single" w:color="auto" w:sz="4" w:space="0"/>
            </w:tcBorders>
            <w:vAlign w:val="center"/>
          </w:tcPr>
          <w:p w14:paraId="587D21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rPr>
            </w:pPr>
            <w:r>
              <w:rPr>
                <w:rFonts w:hint="eastAsia" w:ascii="仿宋" w:hAnsi="仿宋" w:eastAsia="仿宋" w:cs="仿宋"/>
                <w:color w:val="1F2329"/>
                <w:sz w:val="24"/>
                <w:szCs w:val="24"/>
              </w:rPr>
              <w:t>一、★安全合规要求</w:t>
            </w:r>
          </w:p>
          <w:p w14:paraId="332BD5F3">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1、产品</w:t>
            </w:r>
            <w:r>
              <w:rPr>
                <w:rFonts w:hint="eastAsia" w:ascii="仿宋" w:hAnsi="仿宋" w:eastAsia="仿宋" w:cs="仿宋"/>
                <w:color w:val="1F2329"/>
                <w:sz w:val="24"/>
                <w:szCs w:val="24"/>
              </w:rPr>
              <w:t>无刺鼻刺激性异味</w:t>
            </w:r>
            <w:r>
              <w:rPr>
                <w:rFonts w:hint="eastAsia" w:ascii="仿宋" w:hAnsi="仿宋" w:eastAsia="仿宋" w:cs="仿宋"/>
                <w:color w:val="1F2329"/>
                <w:sz w:val="24"/>
                <w:szCs w:val="24"/>
                <w:lang w:eastAsia="zh-CN"/>
              </w:rPr>
              <w:t>，</w:t>
            </w:r>
            <w:r>
              <w:rPr>
                <w:rFonts w:hint="eastAsia" w:ascii="仿宋" w:hAnsi="仿宋" w:eastAsia="仿宋" w:cs="仿宋"/>
                <w:color w:val="1F2329"/>
                <w:sz w:val="24"/>
                <w:szCs w:val="24"/>
              </w:rPr>
              <w:t>面料、管材不得检出有害重金属、违禁阻燃助剂</w:t>
            </w:r>
            <w:r>
              <w:rPr>
                <w:rFonts w:hint="eastAsia" w:ascii="仿宋" w:hAnsi="仿宋" w:eastAsia="仿宋" w:cs="仿宋"/>
                <w:color w:val="1F2329"/>
                <w:sz w:val="24"/>
                <w:szCs w:val="24"/>
                <w:lang w:eastAsia="zh-CN"/>
              </w:rPr>
              <w:t>，</w:t>
            </w:r>
            <w:r>
              <w:rPr>
                <w:rFonts w:hint="eastAsia" w:ascii="仿宋" w:hAnsi="仿宋" w:eastAsia="仿宋" w:cs="仿宋"/>
                <w:color w:val="1F2329"/>
                <w:sz w:val="24"/>
                <w:szCs w:val="24"/>
              </w:rPr>
              <w:t>户外帐篷优先具备阻燃、抗紫外线功能，适配校园露天长期摆放场景</w:t>
            </w:r>
            <w:r>
              <w:rPr>
                <w:rFonts w:hint="eastAsia" w:ascii="仿宋" w:hAnsi="仿宋" w:eastAsia="仿宋" w:cs="仿宋"/>
                <w:color w:val="1F2329"/>
                <w:sz w:val="24"/>
                <w:szCs w:val="24"/>
                <w:lang w:eastAsia="zh-CN"/>
              </w:rPr>
              <w:t>；</w:t>
            </w:r>
          </w:p>
          <w:p w14:paraId="5B850482">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b/>
                <w:bCs/>
                <w:color w:val="1F2329"/>
                <w:sz w:val="24"/>
                <w:szCs w:val="24"/>
              </w:rPr>
            </w:pPr>
            <w:r>
              <w:rPr>
                <w:rFonts w:hint="eastAsia" w:ascii="仿宋" w:hAnsi="仿宋" w:eastAsia="仿宋" w:cs="仿宋"/>
                <w:color w:val="1F2329"/>
                <w:sz w:val="24"/>
                <w:szCs w:val="24"/>
                <w:lang w:val="en-US" w:eastAsia="zh-CN"/>
              </w:rPr>
              <w:t>2、</w:t>
            </w:r>
            <w:r>
              <w:rPr>
                <w:rFonts w:hint="eastAsia" w:ascii="仿宋" w:hAnsi="仿宋" w:eastAsia="仿宋" w:cs="仿宋"/>
                <w:color w:val="1F2329"/>
                <w:sz w:val="24"/>
                <w:szCs w:val="24"/>
              </w:rPr>
              <w:t>产品质量符合国家现行轻工产品、户外家具相关通用标准，</w:t>
            </w:r>
            <w:r>
              <w:rPr>
                <w:rStyle w:val="23"/>
                <w:rFonts w:hint="eastAsia" w:ascii="仿宋" w:hAnsi="仿宋" w:eastAsia="仿宋" w:cs="仿宋"/>
                <w:sz w:val="24"/>
                <w:szCs w:val="24"/>
              </w:rPr>
              <w:t>（</w:t>
            </w:r>
            <w:r>
              <w:rPr>
                <w:rStyle w:val="23"/>
                <w:rFonts w:hint="eastAsia" w:ascii="仿宋" w:hAnsi="仿宋" w:eastAsia="仿宋" w:cs="仿宋"/>
                <w:b/>
                <w:bCs/>
                <w:sz w:val="24"/>
                <w:szCs w:val="24"/>
              </w:rPr>
              <w:t>提供产品说明书或者公开宣传彩页作为证明材料</w:t>
            </w:r>
            <w:r>
              <w:rPr>
                <w:rStyle w:val="23"/>
                <w:rFonts w:hint="eastAsia" w:ascii="仿宋" w:hAnsi="仿宋" w:eastAsia="仿宋" w:cs="仿宋"/>
                <w:sz w:val="24"/>
                <w:szCs w:val="24"/>
              </w:rPr>
              <w:t>）</w:t>
            </w:r>
            <w:r>
              <w:rPr>
                <w:rStyle w:val="23"/>
                <w:rFonts w:hint="eastAsia" w:ascii="仿宋" w:hAnsi="仿宋" w:eastAsia="仿宋" w:cs="仿宋"/>
                <w:sz w:val="24"/>
                <w:szCs w:val="24"/>
                <w:lang w:eastAsia="zh-CN"/>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b/>
                <w:bCs/>
                <w:color w:val="1F2329"/>
                <w:sz w:val="24"/>
                <w:szCs w:val="24"/>
              </w:rPr>
              <w:t>二、★帐篷外观要求</w:t>
            </w:r>
          </w:p>
          <w:p w14:paraId="511136E0">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1、</w:t>
            </w:r>
            <w:r>
              <w:rPr>
                <w:rFonts w:hint="eastAsia" w:ascii="仿宋" w:hAnsi="仿宋" w:eastAsia="仿宋" w:cs="仿宋"/>
                <w:color w:val="1F2329"/>
                <w:sz w:val="24"/>
                <w:szCs w:val="24"/>
              </w:rPr>
              <w:t>帐篷主体颜色为米白色，篷面印制</w:t>
            </w:r>
            <w:r>
              <w:rPr>
                <w:rStyle w:val="20"/>
                <w:rFonts w:hint="eastAsia" w:ascii="仿宋" w:hAnsi="仿宋" w:eastAsia="仿宋" w:cs="仿宋"/>
                <w:color w:val="1F2329"/>
                <w:sz w:val="24"/>
                <w:szCs w:val="24"/>
              </w:rPr>
              <w:t>南大后勤、南大记忆</w:t>
            </w:r>
            <w:r>
              <w:rPr>
                <w:rFonts w:hint="eastAsia" w:ascii="仿宋" w:hAnsi="仿宋" w:eastAsia="仿宋" w:cs="仿宋"/>
                <w:color w:val="1F2329"/>
                <w:sz w:val="24"/>
                <w:szCs w:val="24"/>
              </w:rPr>
              <w:t>字样；</w:t>
            </w:r>
          </w:p>
          <w:p w14:paraId="1329C044">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2、</w:t>
            </w:r>
            <w:r>
              <w:rPr>
                <w:rFonts w:hint="eastAsia" w:ascii="仿宋" w:hAnsi="仿宋" w:eastAsia="仿宋" w:cs="仿宋"/>
                <w:color w:val="1F2329"/>
                <w:sz w:val="24"/>
                <w:szCs w:val="24"/>
              </w:rPr>
              <w:t>款式统一、规格标准化，便于集中规整摆放，保证迎新活动、户外展演现场视觉整齐统一。</w:t>
            </w:r>
          </w:p>
          <w:p w14:paraId="095CE4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rPr>
            </w:pPr>
            <w:r>
              <w:rPr>
                <w:rFonts w:hint="eastAsia" w:ascii="仿宋" w:hAnsi="仿宋" w:eastAsia="仿宋" w:cs="仿宋"/>
                <w:color w:val="1F2329"/>
                <w:sz w:val="24"/>
                <w:szCs w:val="24"/>
              </w:rPr>
              <w:t>三、▲通用性与兼容性</w:t>
            </w:r>
          </w:p>
          <w:p w14:paraId="28CCED7F">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1F2329"/>
                <w:sz w:val="24"/>
                <w:szCs w:val="24"/>
              </w:rPr>
              <w:t>帐篷、配套桌椅规格统一，零配件可通用互换</w:t>
            </w:r>
            <w:r>
              <w:rPr>
                <w:rFonts w:hint="eastAsia" w:ascii="仿宋" w:hAnsi="仿宋" w:eastAsia="仿宋" w:cs="仿宋"/>
                <w:color w:val="1F2329"/>
                <w:sz w:val="24"/>
                <w:szCs w:val="24"/>
                <w:lang w:eastAsia="zh-CN"/>
              </w:rPr>
              <w:t>，</w:t>
            </w:r>
            <w:r>
              <w:rPr>
                <w:rFonts w:hint="eastAsia" w:ascii="仿宋" w:hAnsi="仿宋" w:eastAsia="仿宋" w:cs="仿宋"/>
                <w:color w:val="1F2329"/>
                <w:sz w:val="24"/>
                <w:szCs w:val="24"/>
              </w:rPr>
              <w:t>同一供货批次产品尺寸公差一致，支持灵活组合搭建、校内跨点位轮换调配。</w:t>
            </w:r>
          </w:p>
        </w:tc>
      </w:tr>
      <w:tr w14:paraId="0E17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6840A81">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1203" w:type="dxa"/>
            <w:tcBorders>
              <w:top w:val="single" w:color="auto" w:sz="4" w:space="0"/>
              <w:left w:val="single" w:color="auto" w:sz="4" w:space="0"/>
              <w:right w:val="single" w:color="auto" w:sz="4" w:space="0"/>
            </w:tcBorders>
            <w:vAlign w:val="center"/>
          </w:tcPr>
          <w:p w14:paraId="2D0E236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帐篷布</w:t>
            </w:r>
          </w:p>
        </w:tc>
        <w:tc>
          <w:tcPr>
            <w:tcW w:w="2008" w:type="dxa"/>
            <w:tcBorders>
              <w:top w:val="single" w:color="auto" w:sz="4" w:space="0"/>
              <w:left w:val="single" w:color="auto" w:sz="4" w:space="0"/>
              <w:bottom w:val="single" w:color="auto" w:sz="4" w:space="0"/>
              <w:right w:val="single" w:color="auto" w:sz="4" w:space="0"/>
            </w:tcBorders>
            <w:vAlign w:val="center"/>
          </w:tcPr>
          <w:p w14:paraId="6CCA866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米白色，印有南大后勤和南大记忆字样</w:t>
            </w:r>
          </w:p>
        </w:tc>
        <w:tc>
          <w:tcPr>
            <w:tcW w:w="1500" w:type="dxa"/>
            <w:tcBorders>
              <w:top w:val="single" w:color="auto" w:sz="4" w:space="0"/>
              <w:left w:val="single" w:color="auto" w:sz="4" w:space="0"/>
              <w:bottom w:val="single" w:color="auto" w:sz="4" w:space="0"/>
              <w:right w:val="single" w:color="auto" w:sz="4" w:space="0"/>
            </w:tcBorders>
            <w:vAlign w:val="center"/>
          </w:tcPr>
          <w:p w14:paraId="1C1DD43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479E1D3E">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190</w:t>
            </w:r>
          </w:p>
        </w:tc>
        <w:tc>
          <w:tcPr>
            <w:tcW w:w="3205" w:type="dxa"/>
            <w:vMerge w:val="continue"/>
            <w:tcBorders>
              <w:left w:val="single" w:color="auto" w:sz="4" w:space="0"/>
              <w:right w:val="single" w:color="auto" w:sz="4" w:space="0"/>
            </w:tcBorders>
            <w:vAlign w:val="center"/>
          </w:tcPr>
          <w:p w14:paraId="356808EE">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28A4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8A935C3">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p>
        </w:tc>
        <w:tc>
          <w:tcPr>
            <w:tcW w:w="1203" w:type="dxa"/>
            <w:tcBorders>
              <w:top w:val="single" w:color="auto" w:sz="4" w:space="0"/>
              <w:left w:val="single" w:color="auto" w:sz="4" w:space="0"/>
              <w:right w:val="single" w:color="auto" w:sz="4" w:space="0"/>
            </w:tcBorders>
            <w:vAlign w:val="center"/>
          </w:tcPr>
          <w:p w14:paraId="6CEBAA8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铁三通</w:t>
            </w:r>
          </w:p>
        </w:tc>
        <w:tc>
          <w:tcPr>
            <w:tcW w:w="2008" w:type="dxa"/>
            <w:tcBorders>
              <w:top w:val="single" w:color="auto" w:sz="4" w:space="0"/>
              <w:left w:val="single" w:color="auto" w:sz="4" w:space="0"/>
              <w:bottom w:val="single" w:color="auto" w:sz="4" w:space="0"/>
              <w:right w:val="single" w:color="auto" w:sz="4" w:space="0"/>
            </w:tcBorders>
            <w:vAlign w:val="center"/>
          </w:tcPr>
          <w:p w14:paraId="6268BA9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6D9A8783">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2AA96DD3">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3205" w:type="dxa"/>
            <w:vMerge w:val="continue"/>
            <w:tcBorders>
              <w:left w:val="single" w:color="auto" w:sz="4" w:space="0"/>
              <w:right w:val="single" w:color="auto" w:sz="4" w:space="0"/>
            </w:tcBorders>
            <w:vAlign w:val="center"/>
          </w:tcPr>
          <w:p w14:paraId="2CD2E396">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7D3C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3EF4144">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p>
        </w:tc>
        <w:tc>
          <w:tcPr>
            <w:tcW w:w="1203" w:type="dxa"/>
            <w:tcBorders>
              <w:top w:val="single" w:color="auto" w:sz="4" w:space="0"/>
              <w:left w:val="single" w:color="auto" w:sz="4" w:space="0"/>
              <w:right w:val="single" w:color="auto" w:sz="4" w:space="0"/>
            </w:tcBorders>
            <w:vAlign w:val="center"/>
          </w:tcPr>
          <w:p w14:paraId="59700AC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塑料三通</w:t>
            </w:r>
          </w:p>
        </w:tc>
        <w:tc>
          <w:tcPr>
            <w:tcW w:w="2008" w:type="dxa"/>
            <w:tcBorders>
              <w:top w:val="single" w:color="auto" w:sz="4" w:space="0"/>
              <w:left w:val="single" w:color="auto" w:sz="4" w:space="0"/>
              <w:bottom w:val="single" w:color="auto" w:sz="4" w:space="0"/>
              <w:right w:val="single" w:color="auto" w:sz="4" w:space="0"/>
            </w:tcBorders>
            <w:vAlign w:val="center"/>
          </w:tcPr>
          <w:p w14:paraId="767D84A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0F9D684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55598F68">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3205" w:type="dxa"/>
            <w:vMerge w:val="continue"/>
            <w:tcBorders>
              <w:left w:val="single" w:color="auto" w:sz="4" w:space="0"/>
              <w:right w:val="single" w:color="auto" w:sz="4" w:space="0"/>
            </w:tcBorders>
            <w:vAlign w:val="center"/>
          </w:tcPr>
          <w:p w14:paraId="5649342D">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E81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7D98907">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p>
        </w:tc>
        <w:tc>
          <w:tcPr>
            <w:tcW w:w="1203" w:type="dxa"/>
            <w:tcBorders>
              <w:top w:val="single" w:color="auto" w:sz="4" w:space="0"/>
              <w:left w:val="single" w:color="auto" w:sz="4" w:space="0"/>
              <w:right w:val="single" w:color="auto" w:sz="4" w:space="0"/>
            </w:tcBorders>
            <w:vAlign w:val="center"/>
          </w:tcPr>
          <w:p w14:paraId="2B5F496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底座螺杆+螺帽</w:t>
            </w:r>
          </w:p>
        </w:tc>
        <w:tc>
          <w:tcPr>
            <w:tcW w:w="2008" w:type="dxa"/>
            <w:tcBorders>
              <w:top w:val="single" w:color="auto" w:sz="4" w:space="0"/>
              <w:left w:val="single" w:color="auto" w:sz="4" w:space="0"/>
              <w:bottom w:val="single" w:color="auto" w:sz="4" w:space="0"/>
              <w:right w:val="single" w:color="auto" w:sz="4" w:space="0"/>
            </w:tcBorders>
            <w:vAlign w:val="center"/>
          </w:tcPr>
          <w:p w14:paraId="4E28BB9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LF8.8螺杆（5.5CM*0.8CM）</w:t>
            </w:r>
          </w:p>
        </w:tc>
        <w:tc>
          <w:tcPr>
            <w:tcW w:w="1500" w:type="dxa"/>
            <w:tcBorders>
              <w:top w:val="single" w:color="auto" w:sz="4" w:space="0"/>
              <w:left w:val="single" w:color="auto" w:sz="4" w:space="0"/>
              <w:bottom w:val="single" w:color="auto" w:sz="4" w:space="0"/>
              <w:right w:val="single" w:color="auto" w:sz="4" w:space="0"/>
            </w:tcBorders>
            <w:vAlign w:val="center"/>
          </w:tcPr>
          <w:p w14:paraId="48CD6A7C">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5D7B25F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3205" w:type="dxa"/>
            <w:vMerge w:val="continue"/>
            <w:tcBorders>
              <w:left w:val="single" w:color="auto" w:sz="4" w:space="0"/>
              <w:right w:val="single" w:color="auto" w:sz="4" w:space="0"/>
            </w:tcBorders>
            <w:vAlign w:val="center"/>
          </w:tcPr>
          <w:p w14:paraId="4E708E8D">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5FDD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E844DA5">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p>
        </w:tc>
        <w:tc>
          <w:tcPr>
            <w:tcW w:w="1203" w:type="dxa"/>
            <w:tcBorders>
              <w:top w:val="single" w:color="auto" w:sz="4" w:space="0"/>
              <w:left w:val="single" w:color="auto" w:sz="4" w:space="0"/>
              <w:right w:val="single" w:color="auto" w:sz="4" w:space="0"/>
            </w:tcBorders>
            <w:vAlign w:val="center"/>
          </w:tcPr>
          <w:p w14:paraId="51A6993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水带</w:t>
            </w:r>
          </w:p>
        </w:tc>
        <w:tc>
          <w:tcPr>
            <w:tcW w:w="2008" w:type="dxa"/>
            <w:tcBorders>
              <w:top w:val="single" w:color="auto" w:sz="4" w:space="0"/>
              <w:left w:val="single" w:color="auto" w:sz="4" w:space="0"/>
              <w:bottom w:val="single" w:color="auto" w:sz="4" w:space="0"/>
              <w:right w:val="single" w:color="auto" w:sz="4" w:space="0"/>
            </w:tcBorders>
            <w:vAlign w:val="center"/>
          </w:tcPr>
          <w:p w14:paraId="7B8673BD">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30BD77C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100</w:t>
            </w:r>
            <w:r>
              <w:rPr>
                <w:rFonts w:hint="eastAsia" w:ascii="仿宋" w:hAnsi="仿宋" w:eastAsia="仿宋"/>
                <w:sz w:val="28"/>
                <w:szCs w:val="28"/>
              </w:rPr>
              <w:t>袋</w:t>
            </w:r>
          </w:p>
        </w:tc>
        <w:tc>
          <w:tcPr>
            <w:tcW w:w="1744" w:type="dxa"/>
            <w:tcBorders>
              <w:top w:val="single" w:color="auto" w:sz="4" w:space="0"/>
              <w:left w:val="single" w:color="auto" w:sz="4" w:space="0"/>
              <w:bottom w:val="single" w:color="auto" w:sz="4" w:space="0"/>
              <w:right w:val="single" w:color="auto" w:sz="4" w:space="0"/>
            </w:tcBorders>
            <w:vAlign w:val="center"/>
          </w:tcPr>
          <w:p w14:paraId="49F0412E">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28</w:t>
            </w:r>
          </w:p>
        </w:tc>
        <w:tc>
          <w:tcPr>
            <w:tcW w:w="3205" w:type="dxa"/>
            <w:vMerge w:val="continue"/>
            <w:tcBorders>
              <w:left w:val="single" w:color="auto" w:sz="4" w:space="0"/>
              <w:right w:val="single" w:color="auto" w:sz="4" w:space="0"/>
            </w:tcBorders>
            <w:vAlign w:val="center"/>
          </w:tcPr>
          <w:p w14:paraId="61263662">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98C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65543CE">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1203" w:type="dxa"/>
            <w:tcBorders>
              <w:top w:val="single" w:color="auto" w:sz="4" w:space="0"/>
              <w:left w:val="single" w:color="auto" w:sz="4" w:space="0"/>
              <w:right w:val="single" w:color="auto" w:sz="4" w:space="0"/>
            </w:tcBorders>
            <w:vAlign w:val="center"/>
          </w:tcPr>
          <w:p w14:paraId="4850B49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折叠桌</w:t>
            </w:r>
          </w:p>
        </w:tc>
        <w:tc>
          <w:tcPr>
            <w:tcW w:w="2008" w:type="dxa"/>
            <w:tcBorders>
              <w:top w:val="single" w:color="auto" w:sz="4" w:space="0"/>
              <w:left w:val="single" w:color="auto" w:sz="4" w:space="0"/>
              <w:bottom w:val="single" w:color="auto" w:sz="4" w:space="0"/>
              <w:right w:val="single" w:color="auto" w:sz="4" w:space="0"/>
            </w:tcBorders>
            <w:vAlign w:val="center"/>
          </w:tcPr>
          <w:p w14:paraId="20ABB00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面180CM*60CM高75CM稳固型</w:t>
            </w:r>
          </w:p>
        </w:tc>
        <w:tc>
          <w:tcPr>
            <w:tcW w:w="1500" w:type="dxa"/>
            <w:tcBorders>
              <w:top w:val="single" w:color="auto" w:sz="4" w:space="0"/>
              <w:left w:val="single" w:color="auto" w:sz="4" w:space="0"/>
              <w:bottom w:val="single" w:color="auto" w:sz="4" w:space="0"/>
              <w:right w:val="single" w:color="auto" w:sz="4" w:space="0"/>
            </w:tcBorders>
            <w:vAlign w:val="center"/>
          </w:tcPr>
          <w:p w14:paraId="3F5CA37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w:t>
            </w:r>
            <w:r>
              <w:rPr>
                <w:rFonts w:hint="eastAsia" w:ascii="仿宋" w:hAnsi="仿宋" w:eastAsia="仿宋" w:cs="仿宋"/>
                <w:color w:val="000000" w:themeColor="text1"/>
                <w:sz w:val="24"/>
                <w:szCs w:val="24"/>
                <w:lang w:val="en-US" w:eastAsia="zh-CN"/>
                <w14:textFill>
                  <w14:solidFill>
                    <w14:schemeClr w14:val="tx1"/>
                  </w14:solidFill>
                </w14:textFill>
              </w:rPr>
              <w:t>张</w:t>
            </w:r>
          </w:p>
        </w:tc>
        <w:tc>
          <w:tcPr>
            <w:tcW w:w="1744" w:type="dxa"/>
            <w:tcBorders>
              <w:top w:val="single" w:color="auto" w:sz="4" w:space="0"/>
              <w:left w:val="single" w:color="auto" w:sz="4" w:space="0"/>
              <w:bottom w:val="single" w:color="auto" w:sz="4" w:space="0"/>
              <w:right w:val="single" w:color="auto" w:sz="4" w:space="0"/>
            </w:tcBorders>
            <w:vAlign w:val="center"/>
          </w:tcPr>
          <w:p w14:paraId="1CDB2A5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w:t>
            </w:r>
          </w:p>
        </w:tc>
        <w:tc>
          <w:tcPr>
            <w:tcW w:w="3205" w:type="dxa"/>
            <w:vMerge w:val="continue"/>
            <w:tcBorders>
              <w:left w:val="single" w:color="auto" w:sz="4" w:space="0"/>
              <w:right w:val="single" w:color="auto" w:sz="4" w:space="0"/>
            </w:tcBorders>
            <w:vAlign w:val="center"/>
          </w:tcPr>
          <w:p w14:paraId="62B110CF">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E50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BF9A5E0">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p>
        </w:tc>
        <w:tc>
          <w:tcPr>
            <w:tcW w:w="1203" w:type="dxa"/>
            <w:tcBorders>
              <w:top w:val="single" w:color="auto" w:sz="4" w:space="0"/>
              <w:left w:val="single" w:color="auto" w:sz="4" w:space="0"/>
              <w:right w:val="single" w:color="auto" w:sz="4" w:space="0"/>
            </w:tcBorders>
            <w:vAlign w:val="center"/>
          </w:tcPr>
          <w:p w14:paraId="51DCBD3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折叠椅</w:t>
            </w:r>
          </w:p>
        </w:tc>
        <w:tc>
          <w:tcPr>
            <w:tcW w:w="2008" w:type="dxa"/>
            <w:tcBorders>
              <w:top w:val="single" w:color="auto" w:sz="4" w:space="0"/>
              <w:left w:val="single" w:color="auto" w:sz="4" w:space="0"/>
              <w:bottom w:val="single" w:color="auto" w:sz="4" w:space="0"/>
              <w:right w:val="single" w:color="auto" w:sz="4" w:space="0"/>
            </w:tcBorders>
            <w:vAlign w:val="center"/>
          </w:tcPr>
          <w:p w14:paraId="01060D68">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加固加厚银腿白面</w:t>
            </w:r>
          </w:p>
        </w:tc>
        <w:tc>
          <w:tcPr>
            <w:tcW w:w="1500" w:type="dxa"/>
            <w:tcBorders>
              <w:top w:val="single" w:color="auto" w:sz="4" w:space="0"/>
              <w:left w:val="single" w:color="auto" w:sz="4" w:space="0"/>
              <w:bottom w:val="single" w:color="auto" w:sz="4" w:space="0"/>
              <w:right w:val="single" w:color="auto" w:sz="4" w:space="0"/>
            </w:tcBorders>
            <w:vAlign w:val="center"/>
          </w:tcPr>
          <w:p w14:paraId="353AA21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w:t>
            </w:r>
            <w:r>
              <w:rPr>
                <w:rFonts w:hint="eastAsia" w:ascii="仿宋" w:hAnsi="仿宋" w:eastAsia="仿宋" w:cs="仿宋"/>
                <w:color w:val="000000" w:themeColor="text1"/>
                <w:sz w:val="24"/>
                <w:szCs w:val="24"/>
                <w:lang w:val="en-US" w:eastAsia="zh-CN"/>
                <w14:textFill>
                  <w14:solidFill>
                    <w14:schemeClr w14:val="tx1"/>
                  </w14:solidFill>
                </w14:textFill>
              </w:rPr>
              <w:t>张</w:t>
            </w:r>
          </w:p>
        </w:tc>
        <w:tc>
          <w:tcPr>
            <w:tcW w:w="1744" w:type="dxa"/>
            <w:tcBorders>
              <w:top w:val="single" w:color="auto" w:sz="4" w:space="0"/>
              <w:left w:val="single" w:color="auto" w:sz="4" w:space="0"/>
              <w:bottom w:val="single" w:color="auto" w:sz="4" w:space="0"/>
              <w:right w:val="single" w:color="auto" w:sz="4" w:space="0"/>
            </w:tcBorders>
            <w:vAlign w:val="center"/>
          </w:tcPr>
          <w:p w14:paraId="1CAA17F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55</w:t>
            </w:r>
          </w:p>
        </w:tc>
        <w:tc>
          <w:tcPr>
            <w:tcW w:w="3205" w:type="dxa"/>
            <w:vMerge w:val="continue"/>
            <w:tcBorders>
              <w:left w:val="single" w:color="auto" w:sz="4" w:space="0"/>
              <w:right w:val="single" w:color="auto" w:sz="4" w:space="0"/>
            </w:tcBorders>
            <w:vAlign w:val="center"/>
          </w:tcPr>
          <w:p w14:paraId="67C8D6E2">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CC7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C71E6D5">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w:t>
            </w:r>
          </w:p>
        </w:tc>
        <w:tc>
          <w:tcPr>
            <w:tcW w:w="1203" w:type="dxa"/>
            <w:tcBorders>
              <w:top w:val="single" w:color="auto" w:sz="4" w:space="0"/>
              <w:left w:val="single" w:color="auto" w:sz="4" w:space="0"/>
              <w:right w:val="single" w:color="auto" w:sz="4" w:space="0"/>
            </w:tcBorders>
            <w:vAlign w:val="center"/>
          </w:tcPr>
          <w:p w14:paraId="04DBF5A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白色桌布</w:t>
            </w:r>
          </w:p>
        </w:tc>
        <w:tc>
          <w:tcPr>
            <w:tcW w:w="2008" w:type="dxa"/>
            <w:tcBorders>
              <w:top w:val="single" w:color="auto" w:sz="4" w:space="0"/>
              <w:left w:val="single" w:color="auto" w:sz="4" w:space="0"/>
              <w:bottom w:val="single" w:color="auto" w:sz="4" w:space="0"/>
              <w:right w:val="single" w:color="auto" w:sz="4" w:space="0"/>
            </w:tcBorders>
            <w:vAlign w:val="center"/>
          </w:tcPr>
          <w:p w14:paraId="60EF152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面180CM*60CM高75CM</w:t>
            </w:r>
          </w:p>
        </w:tc>
        <w:tc>
          <w:tcPr>
            <w:tcW w:w="1500" w:type="dxa"/>
            <w:tcBorders>
              <w:top w:val="single" w:color="auto" w:sz="4" w:space="0"/>
              <w:left w:val="single" w:color="auto" w:sz="4" w:space="0"/>
              <w:bottom w:val="single" w:color="auto" w:sz="4" w:space="0"/>
              <w:right w:val="single" w:color="auto" w:sz="4" w:space="0"/>
            </w:tcBorders>
            <w:vAlign w:val="center"/>
          </w:tcPr>
          <w:p w14:paraId="6D0BDD11">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w:t>
            </w:r>
            <w:r>
              <w:rPr>
                <w:rFonts w:hint="eastAsia" w:ascii="仿宋" w:hAnsi="仿宋" w:eastAsia="仿宋" w:cs="仿宋"/>
                <w:color w:val="000000" w:themeColor="text1"/>
                <w:sz w:val="24"/>
                <w:szCs w:val="24"/>
                <w:lang w:val="en-US" w:eastAsia="zh-CN"/>
                <w14:textFill>
                  <w14:solidFill>
                    <w14:schemeClr w14:val="tx1"/>
                  </w14:solidFill>
                </w14:textFill>
              </w:rPr>
              <w:t>套</w:t>
            </w:r>
          </w:p>
        </w:tc>
        <w:tc>
          <w:tcPr>
            <w:tcW w:w="1744" w:type="dxa"/>
            <w:tcBorders>
              <w:top w:val="single" w:color="auto" w:sz="4" w:space="0"/>
              <w:left w:val="single" w:color="auto" w:sz="4" w:space="0"/>
              <w:bottom w:val="single" w:color="auto" w:sz="4" w:space="0"/>
              <w:right w:val="single" w:color="auto" w:sz="4" w:space="0"/>
            </w:tcBorders>
            <w:vAlign w:val="center"/>
          </w:tcPr>
          <w:p w14:paraId="013CF15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w:t>
            </w:r>
          </w:p>
        </w:tc>
        <w:tc>
          <w:tcPr>
            <w:tcW w:w="3205" w:type="dxa"/>
            <w:vMerge w:val="continue"/>
            <w:tcBorders>
              <w:left w:val="single" w:color="auto" w:sz="4" w:space="0"/>
              <w:right w:val="single" w:color="auto" w:sz="4" w:space="0"/>
            </w:tcBorders>
            <w:vAlign w:val="center"/>
          </w:tcPr>
          <w:p w14:paraId="1CDE3B5C">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00D8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65CA1D7">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1203" w:type="dxa"/>
            <w:tcBorders>
              <w:top w:val="single" w:color="auto" w:sz="4" w:space="0"/>
              <w:left w:val="single" w:color="auto" w:sz="4" w:space="0"/>
              <w:right w:val="single" w:color="auto" w:sz="4" w:space="0"/>
            </w:tcBorders>
            <w:vAlign w:val="center"/>
          </w:tcPr>
          <w:p w14:paraId="3113A43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帐篷围布</w:t>
            </w:r>
          </w:p>
        </w:tc>
        <w:tc>
          <w:tcPr>
            <w:tcW w:w="2008" w:type="dxa"/>
            <w:tcBorders>
              <w:top w:val="single" w:color="auto" w:sz="4" w:space="0"/>
              <w:left w:val="single" w:color="auto" w:sz="4" w:space="0"/>
              <w:bottom w:val="single" w:color="auto" w:sz="4" w:space="0"/>
              <w:right w:val="single" w:color="auto" w:sz="4" w:space="0"/>
            </w:tcBorders>
            <w:vAlign w:val="center"/>
          </w:tcPr>
          <w:p w14:paraId="3CD31318">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米白色3M*3M（带拉链）</w:t>
            </w:r>
          </w:p>
        </w:tc>
        <w:tc>
          <w:tcPr>
            <w:tcW w:w="1500" w:type="dxa"/>
            <w:tcBorders>
              <w:top w:val="single" w:color="auto" w:sz="4" w:space="0"/>
              <w:left w:val="single" w:color="auto" w:sz="4" w:space="0"/>
              <w:bottom w:val="single" w:color="auto" w:sz="4" w:space="0"/>
              <w:right w:val="single" w:color="auto" w:sz="4" w:space="0"/>
            </w:tcBorders>
            <w:vAlign w:val="center"/>
          </w:tcPr>
          <w:p w14:paraId="04007A6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250个正面正方形围布</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70个侧面带角形围布</w:t>
            </w:r>
          </w:p>
        </w:tc>
        <w:tc>
          <w:tcPr>
            <w:tcW w:w="1744" w:type="dxa"/>
            <w:tcBorders>
              <w:top w:val="single" w:color="auto" w:sz="4" w:space="0"/>
              <w:left w:val="single" w:color="auto" w:sz="4" w:space="0"/>
              <w:bottom w:val="single" w:color="auto" w:sz="4" w:space="0"/>
              <w:right w:val="single" w:color="auto" w:sz="4" w:space="0"/>
            </w:tcBorders>
            <w:vAlign w:val="center"/>
          </w:tcPr>
          <w:p w14:paraId="5CCAC78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90</w:t>
            </w:r>
          </w:p>
        </w:tc>
        <w:tc>
          <w:tcPr>
            <w:tcW w:w="3205" w:type="dxa"/>
            <w:vMerge w:val="continue"/>
            <w:tcBorders>
              <w:left w:val="single" w:color="auto" w:sz="4" w:space="0"/>
              <w:right w:val="single" w:color="auto" w:sz="4" w:space="0"/>
            </w:tcBorders>
            <w:vAlign w:val="center"/>
          </w:tcPr>
          <w:p w14:paraId="13105273">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6992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49CBA12">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w:t>
            </w:r>
          </w:p>
        </w:tc>
        <w:tc>
          <w:tcPr>
            <w:tcW w:w="1203" w:type="dxa"/>
            <w:tcBorders>
              <w:top w:val="single" w:color="auto" w:sz="4" w:space="0"/>
              <w:left w:val="single" w:color="auto" w:sz="4" w:space="0"/>
              <w:bottom w:val="single" w:color="auto" w:sz="4" w:space="0"/>
              <w:right w:val="single" w:color="auto" w:sz="4" w:space="0"/>
            </w:tcBorders>
            <w:vAlign w:val="center"/>
          </w:tcPr>
          <w:p w14:paraId="5EF1907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帐篷布固定弹力带</w:t>
            </w:r>
          </w:p>
        </w:tc>
        <w:tc>
          <w:tcPr>
            <w:tcW w:w="2008" w:type="dxa"/>
            <w:tcBorders>
              <w:top w:val="single" w:color="auto" w:sz="4" w:space="0"/>
              <w:left w:val="single" w:color="auto" w:sz="4" w:space="0"/>
              <w:bottom w:val="single" w:color="auto" w:sz="4" w:space="0"/>
              <w:right w:val="single" w:color="auto" w:sz="4" w:space="0"/>
            </w:tcBorders>
            <w:vAlign w:val="center"/>
          </w:tcPr>
          <w:p w14:paraId="7C6EDFC1">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1CF43C8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7CA630A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3205" w:type="dxa"/>
            <w:vMerge w:val="continue"/>
            <w:tcBorders>
              <w:left w:val="single" w:color="auto" w:sz="4" w:space="0"/>
              <w:bottom w:val="single" w:color="auto" w:sz="4" w:space="0"/>
              <w:right w:val="single" w:color="auto" w:sz="4" w:space="0"/>
            </w:tcBorders>
            <w:vAlign w:val="center"/>
          </w:tcPr>
          <w:p w14:paraId="0E6DFECE">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49D1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474" w:type="dxa"/>
            <w:gridSpan w:val="4"/>
            <w:tcBorders>
              <w:top w:val="single" w:color="auto" w:sz="4" w:space="0"/>
              <w:left w:val="single" w:color="auto" w:sz="4" w:space="0"/>
              <w:bottom w:val="single" w:color="auto" w:sz="4" w:space="0"/>
              <w:right w:val="single" w:color="auto" w:sz="4" w:space="0"/>
            </w:tcBorders>
            <w:vAlign w:val="center"/>
          </w:tcPr>
          <w:p w14:paraId="4F62B13A">
            <w:pPr>
              <w:spacing w:line="240" w:lineRule="auto"/>
              <w:jc w:val="left"/>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价格合计：</w:t>
            </w:r>
          </w:p>
        </w:tc>
        <w:tc>
          <w:tcPr>
            <w:tcW w:w="1744" w:type="dxa"/>
            <w:tcBorders>
              <w:top w:val="single" w:color="auto" w:sz="4" w:space="0"/>
              <w:left w:val="single" w:color="auto" w:sz="4" w:space="0"/>
              <w:bottom w:val="single" w:color="auto" w:sz="4" w:space="0"/>
              <w:right w:val="single" w:color="auto" w:sz="4" w:space="0"/>
            </w:tcBorders>
            <w:vAlign w:val="center"/>
          </w:tcPr>
          <w:p w14:paraId="11798973">
            <w:pPr>
              <w:spacing w:line="240" w:lineRule="auto"/>
              <w:jc w:val="center"/>
              <w:rPr>
                <w:rFonts w:hint="default"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150000</w:t>
            </w:r>
          </w:p>
        </w:tc>
        <w:tc>
          <w:tcPr>
            <w:tcW w:w="3205" w:type="dxa"/>
            <w:tcBorders>
              <w:top w:val="single" w:color="auto" w:sz="4" w:space="0"/>
              <w:left w:val="single" w:color="auto" w:sz="4" w:space="0"/>
              <w:bottom w:val="single" w:color="auto" w:sz="4" w:space="0"/>
              <w:right w:val="single" w:color="auto" w:sz="4" w:space="0"/>
            </w:tcBorders>
            <w:vAlign w:val="center"/>
          </w:tcPr>
          <w:p w14:paraId="51D9030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p>
        </w:tc>
      </w:tr>
    </w:tbl>
    <w:p w14:paraId="2E4695F6">
      <w:pPr>
        <w:pStyle w:val="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color w:val="C00000"/>
          <w:sz w:val="24"/>
          <w:szCs w:val="24"/>
          <w:lang w:val="en-US" w:eastAsia="zh-CN"/>
        </w:rPr>
      </w:pPr>
    </w:p>
    <w:p w14:paraId="057B4C31">
      <w:pPr>
        <w:pStyle w:val="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242E60D6">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的内容为实质性要求，供应商须逐条响应，有一项不满足即视为无效响应。</w:t>
      </w:r>
    </w:p>
    <w:p w14:paraId="52C4CB7C">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的内容为加分项/推荐性要求，供应商应积极满足。</w:t>
      </w:r>
    </w:p>
    <w:p w14:paraId="5A95BB1B">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本报价为最终全包价，包含货物、运输（含二次人工转运费）、税费等全部费用，采购方不再支付任何额外费用。</w:t>
      </w:r>
    </w:p>
    <w:p w14:paraId="0619F1CD">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44148730">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eastAsia" w:ascii="仿宋" w:hAnsi="仿宋" w:eastAsia="仿宋" w:cs="仿宋"/>
          <w:bCs/>
          <w:kern w:val="2"/>
          <w:sz w:val="24"/>
          <w:szCs w:val="24"/>
          <w:lang w:val="en-US" w:eastAsia="zh-CN"/>
        </w:rPr>
        <w:t>整体</w:t>
      </w:r>
      <w:r>
        <w:rPr>
          <w:rFonts w:hint="default" w:ascii="仿宋" w:hAnsi="仿宋" w:eastAsia="仿宋" w:cs="仿宋"/>
          <w:bCs/>
          <w:kern w:val="2"/>
          <w:sz w:val="24"/>
          <w:szCs w:val="24"/>
          <w:lang w:val="en-US" w:eastAsia="zh-CN"/>
        </w:rPr>
        <w:t>质保期：</w:t>
      </w:r>
      <w:r>
        <w:rPr>
          <w:rFonts w:hint="default" w:ascii="仿宋" w:hAnsi="仿宋" w:eastAsia="仿宋" w:cs="仿宋"/>
          <w:bCs/>
          <w:kern w:val="2"/>
          <w:sz w:val="24"/>
          <w:szCs w:val="24"/>
          <w:lang w:val="en-US" w:eastAsia="zh-CN" w:bidi="ar-SA"/>
        </w:rPr>
        <w:t>所有帐篷、配套桌椅及全套配件，自项目整体验收合格签字之日起，免费质保不少于24个月。质保期内实行免费维修、免费更换损坏零部件，全程免收人工费、上门费、配件费。</w:t>
      </w:r>
    </w:p>
    <w:p w14:paraId="12515AF9">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bidi="ar-SA"/>
        </w:rPr>
        <w:t>接到故障报修后，</w:t>
      </w:r>
      <w:r>
        <w:rPr>
          <w:rFonts w:hint="eastAsia" w:ascii="仿宋" w:hAnsi="仿宋" w:eastAsia="仿宋" w:cs="仿宋"/>
          <w:bCs/>
          <w:kern w:val="2"/>
          <w:sz w:val="24"/>
          <w:szCs w:val="24"/>
          <w:lang w:val="en-US" w:eastAsia="zh-CN" w:bidi="ar-SA"/>
        </w:rPr>
        <w:t>2</w:t>
      </w:r>
      <w:r>
        <w:rPr>
          <w:rFonts w:hint="default" w:ascii="仿宋" w:hAnsi="仿宋" w:eastAsia="仿宋" w:cs="仿宋"/>
          <w:bCs/>
          <w:kern w:val="2"/>
          <w:sz w:val="24"/>
          <w:szCs w:val="24"/>
          <w:lang w:val="en-US" w:eastAsia="zh-CN" w:bidi="ar-SA"/>
        </w:rPr>
        <w:t>小时内响应，24小时内</w:t>
      </w:r>
      <w:r>
        <w:rPr>
          <w:rFonts w:hint="eastAsia" w:ascii="仿宋" w:hAnsi="仿宋" w:eastAsia="仿宋" w:cs="仿宋"/>
          <w:bCs/>
          <w:kern w:val="2"/>
          <w:sz w:val="24"/>
          <w:szCs w:val="24"/>
          <w:lang w:val="en-US" w:eastAsia="zh-CN" w:bidi="ar-SA"/>
        </w:rPr>
        <w:t>到场排查</w:t>
      </w:r>
      <w:r>
        <w:rPr>
          <w:rFonts w:hint="default" w:ascii="仿宋" w:hAnsi="仿宋" w:eastAsia="仿宋" w:cs="仿宋"/>
          <w:bCs/>
          <w:kern w:val="2"/>
          <w:sz w:val="24"/>
          <w:szCs w:val="24"/>
          <w:lang w:val="en-US" w:eastAsia="zh-CN" w:bidi="ar-SA"/>
        </w:rPr>
        <w:t>处理</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rPr>
        <w:t>全程免费维修、更换配件，确保不影响校区工作开展。</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lang w:val="en-US" w:eastAsia="zh-CN"/>
        </w:rPr>
        <w:t>★交货时间：</w:t>
      </w:r>
      <w:r>
        <w:rPr>
          <w:rFonts w:hint="default" w:ascii="仿宋" w:hAnsi="仿宋" w:eastAsia="仿宋" w:cs="仿宋"/>
          <w:bCs/>
          <w:kern w:val="2"/>
          <w:sz w:val="24"/>
          <w:szCs w:val="24"/>
          <w:highlight w:val="none"/>
          <w:u w:val="none"/>
          <w:lang w:val="en-US" w:eastAsia="zh-CN"/>
        </w:rPr>
        <w:t>合同签订之日起</w:t>
      </w:r>
      <w:r>
        <w:rPr>
          <w:rFonts w:hint="eastAsia" w:ascii="仿宋" w:hAnsi="仿宋" w:eastAsia="仿宋" w:cs="仿宋"/>
          <w:bCs/>
          <w:color w:val="000000" w:themeColor="text1"/>
          <w:kern w:val="2"/>
          <w:sz w:val="24"/>
          <w:szCs w:val="24"/>
          <w:highlight w:val="none"/>
          <w:u w:val="none"/>
          <w:lang w:val="en-US" w:eastAsia="zh-CN"/>
          <w14:textFill>
            <w14:solidFill>
              <w14:schemeClr w14:val="tx1"/>
            </w14:solidFill>
          </w14:textFill>
        </w:rPr>
        <w:t>15个</w:t>
      </w:r>
      <w:r>
        <w:rPr>
          <w:rFonts w:hint="default" w:ascii="仿宋" w:hAnsi="仿宋" w:eastAsia="仿宋" w:cs="仿宋"/>
          <w:bCs/>
          <w:kern w:val="2"/>
          <w:sz w:val="24"/>
          <w:szCs w:val="24"/>
          <w:highlight w:val="none"/>
          <w:u w:val="none"/>
          <w:lang w:val="en-US" w:eastAsia="zh-CN"/>
        </w:rPr>
        <w:t>日历日内</w:t>
      </w:r>
      <w:r>
        <w:rPr>
          <w:rFonts w:hint="default" w:ascii="仿宋" w:hAnsi="仿宋" w:eastAsia="仿宋" w:cs="仿宋"/>
          <w:bCs/>
          <w:kern w:val="2"/>
          <w:sz w:val="24"/>
          <w:szCs w:val="24"/>
          <w:lang w:val="en-US" w:eastAsia="zh-CN"/>
        </w:rPr>
        <w:t>，供方完成全部货物送达、现场就位等全部工作。</w:t>
      </w:r>
    </w:p>
    <w:p w14:paraId="0DF9CCD1">
      <w:pPr>
        <w:numPr>
          <w:ilvl w:val="0"/>
          <w:numId w:val="0"/>
        </w:numPr>
        <w:snapToGrid w:val="0"/>
        <w:spacing w:line="360" w:lineRule="auto"/>
        <w:ind w:firstLine="480" w:firstLineChars="200"/>
        <w:rPr>
          <w:rFonts w:hint="default" w:ascii="仿宋" w:hAnsi="仿宋" w:eastAsia="仿宋" w:cs="仿宋"/>
          <w:bCs/>
          <w:color w:val="000000" w:themeColor="text1"/>
          <w:kern w:val="2"/>
          <w:sz w:val="24"/>
          <w:szCs w:val="24"/>
          <w:lang w:val="en-US" w:eastAsia="zh-CN"/>
          <w14:textFill>
            <w14:solidFill>
              <w14:schemeClr w14:val="tx1"/>
            </w14:solidFill>
          </w14:textFill>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w:t>
      </w:r>
      <w:r>
        <w:rPr>
          <w:rFonts w:hint="default" w:ascii="仿宋" w:hAnsi="仿宋" w:eastAsia="仿宋" w:cs="仿宋"/>
          <w:bCs/>
          <w:color w:val="000000" w:themeColor="text1"/>
          <w:kern w:val="2"/>
          <w:sz w:val="24"/>
          <w:szCs w:val="24"/>
          <w:u w:val="single"/>
          <w:lang w:val="en-US" w:eastAsia="zh-CN"/>
          <w14:textFill>
            <w14:solidFill>
              <w14:schemeClr w14:val="tx1"/>
            </w14:solidFill>
          </w14:textFill>
        </w:rPr>
        <w:t>南京大学</w:t>
      </w:r>
      <w:r>
        <w:rPr>
          <w:rFonts w:hint="eastAsia" w:ascii="仿宋" w:hAnsi="仿宋" w:eastAsia="仿宋" w:cs="仿宋"/>
          <w:bCs/>
          <w:color w:val="000000" w:themeColor="text1"/>
          <w:kern w:val="2"/>
          <w:sz w:val="24"/>
          <w:szCs w:val="24"/>
          <w:u w:val="single"/>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u w:val="single"/>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6749BAE2">
      <w:pPr>
        <w:pStyle w:val="14"/>
        <w:spacing w:line="360" w:lineRule="auto"/>
        <w:ind w:firstLine="480" w:firstLineChars="2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5279AE9F">
      <w:pPr>
        <w:pStyle w:val="14"/>
        <w:spacing w:line="360" w:lineRule="auto"/>
        <w:ind w:firstLine="480" w:firstLineChars="200"/>
        <w:rPr>
          <w:rFonts w:hint="default" w:ascii="仿宋" w:hAnsi="仿宋" w:eastAsia="仿宋" w:cs="仿宋"/>
          <w:b w:val="0"/>
          <w:bCs/>
          <w:color w:val="auto"/>
          <w:sz w:val="24"/>
          <w:szCs w:val="24"/>
          <w:highlight w:val="none"/>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2、★</w:t>
      </w:r>
      <w:r>
        <w:rPr>
          <w:rFonts w:hint="default" w:ascii="仿宋" w:hAnsi="仿宋" w:eastAsia="仿宋"/>
          <w:b/>
          <w:bCs w:val="0"/>
          <w:sz w:val="24"/>
        </w:rPr>
        <w:t>验收</w:t>
      </w:r>
      <w:r>
        <w:rPr>
          <w:rFonts w:hint="default" w:ascii="仿宋" w:hAnsi="仿宋" w:eastAsia="仿宋"/>
          <w:b/>
          <w:bCs w:val="0"/>
          <w:sz w:val="24"/>
          <w:lang w:val="en-US" w:eastAsia="zh-CN"/>
        </w:rPr>
        <w:t>标准</w:t>
      </w:r>
      <w:r>
        <w:rPr>
          <w:rFonts w:hint="eastAsia" w:ascii="仿宋" w:hAnsi="仿宋" w:eastAsia="仿宋"/>
          <w:b/>
          <w:bCs w:val="0"/>
          <w:sz w:val="24"/>
          <w:lang w:val="en-US" w:eastAsia="zh-CN"/>
        </w:rPr>
        <w:t>：</w:t>
      </w:r>
    </w:p>
    <w:p w14:paraId="6EAB2689">
      <w:pPr>
        <w:spacing w:line="360" w:lineRule="auto"/>
        <w:ind w:firstLine="495"/>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7BE945A">
      <w:pPr>
        <w:spacing w:line="360" w:lineRule="auto"/>
        <w:ind w:firstLine="495"/>
        <w:rPr>
          <w:rFonts w:hint="eastAsia" w:ascii="仿宋" w:hAnsi="仿宋" w:eastAsia="仿宋"/>
          <w:bCs/>
          <w:sz w:val="24"/>
          <w:lang w:eastAsia="zh-CN"/>
        </w:rPr>
      </w:pPr>
      <w:r>
        <w:rPr>
          <w:rFonts w:hint="eastAsia" w:ascii="仿宋" w:hAnsi="仿宋" w:eastAsia="仿宋"/>
          <w:bCs/>
          <w:sz w:val="24"/>
        </w:rPr>
        <w:t>（2）货物到达交货地点后，采购人</w:t>
      </w:r>
      <w:r>
        <w:rPr>
          <w:rFonts w:hint="eastAsia" w:ascii="仿宋" w:hAnsi="仿宋" w:eastAsia="仿宋"/>
          <w:bCs/>
          <w:sz w:val="24"/>
          <w:lang w:val="en-US" w:eastAsia="zh-CN"/>
        </w:rPr>
        <w:t>当场</w:t>
      </w:r>
      <w:r>
        <w:rPr>
          <w:rFonts w:hint="eastAsia" w:ascii="仿宋" w:hAnsi="仿宋" w:eastAsia="仿宋"/>
          <w:bCs/>
          <w:sz w:val="24"/>
        </w:rPr>
        <w:t>核对</w:t>
      </w:r>
      <w:r>
        <w:rPr>
          <w:rFonts w:hint="eastAsia" w:ascii="仿宋" w:hAnsi="仿宋" w:eastAsia="仿宋"/>
          <w:bCs/>
          <w:sz w:val="24"/>
          <w:lang w:val="en-US" w:eastAsia="zh-CN"/>
        </w:rPr>
        <w:t>所有货物</w:t>
      </w:r>
      <w:r>
        <w:rPr>
          <w:rFonts w:hint="eastAsia" w:ascii="仿宋" w:hAnsi="仿宋" w:eastAsia="仿宋"/>
          <w:bCs/>
          <w:sz w:val="24"/>
        </w:rPr>
        <w:t>数量、外形参数、制作工艺，并查验</w:t>
      </w:r>
      <w:r>
        <w:rPr>
          <w:rFonts w:hint="eastAsia" w:ascii="仿宋" w:hAnsi="仿宋" w:eastAsia="仿宋"/>
          <w:bCs/>
          <w:sz w:val="24"/>
          <w:lang w:val="en-US" w:eastAsia="zh-CN"/>
        </w:rPr>
        <w:t>产品合格证等</w:t>
      </w:r>
      <w:r>
        <w:rPr>
          <w:rFonts w:hint="eastAsia" w:ascii="仿宋" w:hAnsi="仿宋" w:eastAsia="仿宋"/>
          <w:bCs/>
          <w:sz w:val="24"/>
        </w:rPr>
        <w:t>文件</w:t>
      </w:r>
      <w:r>
        <w:rPr>
          <w:rFonts w:hint="eastAsia" w:ascii="仿宋" w:hAnsi="仿宋" w:eastAsia="仿宋"/>
          <w:bCs/>
          <w:sz w:val="24"/>
          <w:lang w:eastAsia="zh-CN"/>
        </w:rPr>
        <w:t>。</w:t>
      </w:r>
    </w:p>
    <w:p w14:paraId="39475605">
      <w:pPr>
        <w:spacing w:line="360" w:lineRule="auto"/>
        <w:ind w:firstLine="495"/>
        <w:rPr>
          <w:rFonts w:hint="eastAsia" w:ascii="仿宋" w:hAnsi="仿宋" w:eastAsia="仿宋"/>
          <w:bCs/>
          <w:sz w:val="24"/>
          <w:lang w:val="en-US" w:eastAsia="zh-CN"/>
        </w:rPr>
      </w:pPr>
      <w:r>
        <w:rPr>
          <w:rFonts w:hint="eastAsia" w:ascii="仿宋" w:hAnsi="仿宋" w:eastAsia="仿宋"/>
          <w:bCs/>
          <w:sz w:val="24"/>
        </w:rPr>
        <w:t>（3）所有</w:t>
      </w:r>
      <w:r>
        <w:rPr>
          <w:rFonts w:hint="eastAsia" w:ascii="仿宋" w:hAnsi="仿宋" w:eastAsia="仿宋"/>
          <w:bCs/>
          <w:sz w:val="24"/>
          <w:lang w:val="en-US" w:eastAsia="zh-CN"/>
        </w:rPr>
        <w:t>货物</w:t>
      </w:r>
      <w:r>
        <w:rPr>
          <w:rFonts w:hint="eastAsia" w:ascii="仿宋" w:hAnsi="仿宋" w:eastAsia="仿宋"/>
          <w:bCs/>
          <w:sz w:val="24"/>
        </w:rPr>
        <w:t>配送到位、搬运、现场摆放就位，全部检验合格</w:t>
      </w:r>
      <w:r>
        <w:rPr>
          <w:rFonts w:hint="eastAsia" w:ascii="仿宋" w:hAnsi="仿宋" w:eastAsia="仿宋"/>
          <w:bCs/>
          <w:sz w:val="24"/>
          <w:lang w:val="en-US" w:eastAsia="zh-CN"/>
        </w:rPr>
        <w:t>后</w:t>
      </w:r>
      <w:r>
        <w:rPr>
          <w:rFonts w:hint="eastAsia" w:ascii="仿宋" w:hAnsi="仿宋" w:eastAsia="仿宋"/>
          <w:bCs/>
          <w:sz w:val="24"/>
        </w:rPr>
        <w:t>，方可</w:t>
      </w:r>
      <w:r>
        <w:rPr>
          <w:rFonts w:hint="eastAsia" w:ascii="仿宋" w:hAnsi="仿宋" w:eastAsia="仿宋"/>
          <w:bCs/>
          <w:sz w:val="24"/>
          <w:lang w:val="en-US" w:eastAsia="zh-CN"/>
        </w:rPr>
        <w:t>进行</w:t>
      </w:r>
      <w:r>
        <w:rPr>
          <w:rFonts w:hint="eastAsia" w:ascii="仿宋" w:hAnsi="仿宋" w:eastAsia="仿宋"/>
          <w:bCs/>
          <w:sz w:val="24"/>
        </w:rPr>
        <w:t>最终验收。</w:t>
      </w:r>
    </w:p>
    <w:p w14:paraId="7790FD57">
      <w:pPr>
        <w:spacing w:line="360" w:lineRule="auto"/>
        <w:ind w:firstLine="495"/>
        <w:rPr>
          <w:rFonts w:hint="eastAsia" w:ascii="仿宋" w:hAnsi="仿宋" w:eastAsia="仿宋"/>
          <w:bCs/>
          <w:sz w:val="24"/>
          <w:lang w:val="en-US" w:eastAsia="zh-CN"/>
        </w:rPr>
      </w:pPr>
    </w:p>
    <w:p w14:paraId="024FA9A6">
      <w:pPr>
        <w:pStyle w:val="14"/>
        <w:rPr>
          <w:rFonts w:hint="eastAsia" w:ascii="仿宋_GB2312" w:hAnsi="仿宋_GB2312" w:eastAsia="仿宋_GB2312"/>
          <w:snapToGrid w:val="0"/>
          <w:sz w:val="24"/>
          <w:lang w:val="en-US" w:eastAsia="zh-CN"/>
        </w:rPr>
      </w:pPr>
    </w:p>
    <w:p w14:paraId="1379405B">
      <w:pPr>
        <w:pStyle w:val="14"/>
        <w:rPr>
          <w:rFonts w:hint="eastAsia" w:ascii="仿宋_GB2312" w:hAnsi="仿宋_GB2312" w:eastAsia="仿宋_GB2312"/>
          <w:snapToGrid w:val="0"/>
          <w:sz w:val="24"/>
          <w:lang w:val="en-US" w:eastAsia="zh-CN"/>
        </w:rPr>
      </w:pPr>
    </w:p>
    <w:p w14:paraId="102DCDF9">
      <w:pPr>
        <w:pStyle w:val="14"/>
        <w:rPr>
          <w:rFonts w:hint="eastAsia" w:ascii="仿宋_GB2312" w:hAnsi="仿宋_GB2312" w:eastAsia="仿宋_GB2312"/>
          <w:snapToGrid w:val="0"/>
          <w:sz w:val="24"/>
          <w:lang w:val="en-US" w:eastAsia="zh-CN"/>
        </w:rPr>
      </w:pPr>
    </w:p>
    <w:p w14:paraId="21F5EB49">
      <w:pPr>
        <w:pStyle w:val="14"/>
        <w:rPr>
          <w:rFonts w:hint="eastAsia" w:ascii="仿宋_GB2312" w:hAnsi="仿宋_GB2312" w:eastAsia="仿宋_GB2312"/>
          <w:snapToGrid w:val="0"/>
          <w:sz w:val="24"/>
          <w:lang w:val="en-US" w:eastAsia="zh-CN"/>
        </w:rPr>
      </w:pPr>
    </w:p>
    <w:p w14:paraId="6164C958">
      <w:pPr>
        <w:pStyle w:val="14"/>
        <w:rPr>
          <w:rFonts w:hint="eastAsia" w:ascii="仿宋_GB2312" w:hAnsi="仿宋_GB2312" w:eastAsia="仿宋_GB2312"/>
          <w:snapToGrid w:val="0"/>
          <w:sz w:val="24"/>
          <w:lang w:val="en-US" w:eastAsia="zh-CN"/>
        </w:rPr>
      </w:pPr>
    </w:p>
    <w:p w14:paraId="2AB159BF">
      <w:pPr>
        <w:pStyle w:val="14"/>
        <w:rPr>
          <w:rFonts w:hint="eastAsia" w:ascii="仿宋_GB2312" w:hAnsi="仿宋_GB2312" w:eastAsia="仿宋_GB2312"/>
          <w:snapToGrid w:val="0"/>
          <w:sz w:val="24"/>
          <w:lang w:val="en-US" w:eastAsia="zh-CN"/>
        </w:rPr>
      </w:pPr>
    </w:p>
    <w:p w14:paraId="2A507D13">
      <w:pPr>
        <w:pStyle w:val="14"/>
        <w:rPr>
          <w:rFonts w:hint="eastAsia" w:ascii="仿宋_GB2312" w:hAnsi="仿宋_GB2312" w:eastAsia="仿宋_GB2312"/>
          <w:snapToGrid w:val="0"/>
          <w:sz w:val="24"/>
          <w:lang w:val="en-US" w:eastAsia="zh-CN"/>
        </w:rPr>
      </w:pPr>
    </w:p>
    <w:p w14:paraId="7614A55F">
      <w:pPr>
        <w:pStyle w:val="14"/>
        <w:rPr>
          <w:rFonts w:hint="eastAsia" w:ascii="仿宋_GB2312" w:hAnsi="仿宋_GB2312" w:eastAsia="仿宋_GB2312"/>
          <w:snapToGrid w:val="0"/>
          <w:sz w:val="24"/>
          <w:lang w:val="en-US" w:eastAsia="zh-CN"/>
        </w:rPr>
      </w:pPr>
    </w:p>
    <w:p w14:paraId="30F7B777">
      <w:pPr>
        <w:pStyle w:val="14"/>
        <w:rPr>
          <w:rFonts w:hint="eastAsia" w:ascii="仿宋_GB2312" w:hAnsi="仿宋_GB2312" w:eastAsia="仿宋_GB2312"/>
          <w:snapToGrid w:val="0"/>
          <w:sz w:val="24"/>
          <w:lang w:val="en-US" w:eastAsia="zh-CN"/>
        </w:rPr>
      </w:pPr>
    </w:p>
    <w:p w14:paraId="50E20ACD">
      <w:pPr>
        <w:pStyle w:val="14"/>
        <w:rPr>
          <w:rFonts w:hint="eastAsia" w:ascii="仿宋_GB2312" w:hAnsi="仿宋_GB2312" w:eastAsia="仿宋_GB2312"/>
          <w:snapToGrid w:val="0"/>
          <w:sz w:val="24"/>
          <w:lang w:val="en-US" w:eastAsia="zh-CN"/>
        </w:rPr>
      </w:pPr>
    </w:p>
    <w:p w14:paraId="57B0BA0A">
      <w:pPr>
        <w:pStyle w:val="14"/>
        <w:rPr>
          <w:rFonts w:hint="eastAsia" w:ascii="仿宋_GB2312" w:hAnsi="仿宋_GB2312" w:eastAsia="仿宋_GB2312"/>
          <w:snapToGrid w:val="0"/>
          <w:sz w:val="24"/>
          <w:lang w:val="en-US" w:eastAsia="zh-CN"/>
        </w:rPr>
      </w:pPr>
    </w:p>
    <w:p w14:paraId="5C1555AA">
      <w:pPr>
        <w:pStyle w:val="14"/>
        <w:rPr>
          <w:rFonts w:hint="eastAsia" w:ascii="仿宋_GB2312" w:hAnsi="仿宋_GB2312" w:eastAsia="仿宋_GB2312"/>
          <w:snapToGrid w:val="0"/>
          <w:sz w:val="24"/>
          <w:lang w:val="en-US" w:eastAsia="zh-CN"/>
        </w:rPr>
      </w:pPr>
    </w:p>
    <w:p w14:paraId="496D5133">
      <w:pPr>
        <w:pStyle w:val="14"/>
        <w:rPr>
          <w:rFonts w:hint="eastAsia" w:ascii="仿宋_GB2312" w:hAnsi="仿宋_GB2312" w:eastAsia="仿宋_GB2312"/>
          <w:snapToGrid w:val="0"/>
          <w:sz w:val="24"/>
          <w:lang w:val="en-US" w:eastAsia="zh-CN"/>
        </w:rPr>
      </w:pPr>
    </w:p>
    <w:p w14:paraId="66ED39DB">
      <w:pPr>
        <w:pStyle w:val="14"/>
        <w:rPr>
          <w:rFonts w:hint="eastAsia" w:ascii="仿宋_GB2312" w:hAnsi="仿宋_GB2312" w:eastAsia="仿宋_GB2312"/>
          <w:snapToGrid w:val="0"/>
          <w:sz w:val="24"/>
          <w:lang w:val="en-US" w:eastAsia="zh-CN"/>
        </w:rPr>
      </w:pPr>
    </w:p>
    <w:p w14:paraId="0318550F">
      <w:pPr>
        <w:pStyle w:val="14"/>
        <w:rPr>
          <w:rFonts w:hint="eastAsia" w:ascii="仿宋_GB2312" w:hAnsi="仿宋_GB2312" w:eastAsia="仿宋_GB2312"/>
          <w:snapToGrid w:val="0"/>
          <w:sz w:val="24"/>
          <w:lang w:val="en-US" w:eastAsia="zh-CN"/>
        </w:rPr>
      </w:pPr>
    </w:p>
    <w:p w14:paraId="6DE48FFA">
      <w:pPr>
        <w:pStyle w:val="14"/>
        <w:rPr>
          <w:rFonts w:hint="eastAsia" w:ascii="仿宋_GB2312" w:hAnsi="仿宋_GB2312" w:eastAsia="仿宋_GB2312"/>
          <w:snapToGrid w:val="0"/>
          <w:sz w:val="24"/>
          <w:lang w:val="en-US" w:eastAsia="zh-CN"/>
        </w:rPr>
      </w:pPr>
    </w:p>
    <w:p w14:paraId="78CDD7ED">
      <w:pPr>
        <w:pStyle w:val="14"/>
        <w:rPr>
          <w:rFonts w:hint="eastAsia" w:ascii="仿宋_GB2312" w:hAnsi="仿宋_GB2312" w:eastAsia="仿宋_GB2312"/>
          <w:snapToGrid w:val="0"/>
          <w:sz w:val="24"/>
          <w:lang w:val="en-US" w:eastAsia="zh-CN"/>
        </w:rPr>
      </w:pPr>
    </w:p>
    <w:p w14:paraId="581A17A8">
      <w:pPr>
        <w:pStyle w:val="14"/>
        <w:rPr>
          <w:rFonts w:hint="eastAsia" w:ascii="仿宋_GB2312" w:hAnsi="仿宋_GB2312" w:eastAsia="仿宋_GB2312"/>
          <w:snapToGrid w:val="0"/>
          <w:sz w:val="24"/>
          <w:lang w:val="en-US" w:eastAsia="zh-CN"/>
        </w:rPr>
      </w:pPr>
    </w:p>
    <w:p w14:paraId="196FA2C7">
      <w:pPr>
        <w:pStyle w:val="14"/>
        <w:rPr>
          <w:rFonts w:hint="eastAsia" w:ascii="仿宋_GB2312" w:hAnsi="仿宋_GB2312" w:eastAsia="仿宋_GB2312"/>
          <w:snapToGrid w:val="0"/>
          <w:sz w:val="24"/>
          <w:lang w:val="en-US" w:eastAsia="zh-CN"/>
        </w:rPr>
      </w:pPr>
    </w:p>
    <w:p w14:paraId="06966CBC">
      <w:pPr>
        <w:pStyle w:val="14"/>
        <w:rPr>
          <w:rFonts w:hint="eastAsia" w:ascii="仿宋_GB2312" w:hAnsi="仿宋_GB2312" w:eastAsia="仿宋_GB2312"/>
          <w:snapToGrid w:val="0"/>
          <w:sz w:val="24"/>
          <w:lang w:val="en-US" w:eastAsia="zh-CN"/>
        </w:rPr>
      </w:pPr>
    </w:p>
    <w:p w14:paraId="5B1EA234">
      <w:pPr>
        <w:pStyle w:val="14"/>
        <w:rPr>
          <w:rFonts w:hint="eastAsia" w:ascii="仿宋_GB2312" w:hAnsi="仿宋_GB2312" w:eastAsia="仿宋_GB2312"/>
          <w:snapToGrid w:val="0"/>
          <w:sz w:val="24"/>
          <w:lang w:val="en-US" w:eastAsia="zh-CN"/>
        </w:rPr>
      </w:pPr>
    </w:p>
    <w:p w14:paraId="4B7EDF68">
      <w:pPr>
        <w:pStyle w:val="14"/>
        <w:rPr>
          <w:rFonts w:hint="eastAsia" w:ascii="仿宋_GB2312" w:hAnsi="仿宋_GB2312" w:eastAsia="仿宋_GB2312"/>
          <w:snapToGrid w:val="0"/>
          <w:sz w:val="24"/>
          <w:lang w:val="en-US" w:eastAsia="zh-CN"/>
        </w:rPr>
      </w:pPr>
    </w:p>
    <w:p w14:paraId="43D5774A">
      <w:pPr>
        <w:pStyle w:val="14"/>
        <w:rPr>
          <w:rFonts w:hint="eastAsia" w:ascii="仿宋_GB2312" w:hAnsi="仿宋_GB2312" w:eastAsia="仿宋_GB2312"/>
          <w:snapToGrid w:val="0"/>
          <w:sz w:val="24"/>
          <w:lang w:val="en-US" w:eastAsia="zh-CN"/>
        </w:rPr>
      </w:pPr>
    </w:p>
    <w:p w14:paraId="5A1FA9FC">
      <w:pPr>
        <w:pStyle w:val="14"/>
        <w:rPr>
          <w:rFonts w:hint="eastAsia" w:ascii="仿宋_GB2312" w:hAnsi="仿宋_GB2312" w:eastAsia="仿宋_GB2312"/>
          <w:snapToGrid w:val="0"/>
          <w:sz w:val="24"/>
          <w:lang w:val="en-US" w:eastAsia="zh-CN"/>
        </w:rPr>
      </w:pPr>
    </w:p>
    <w:p w14:paraId="044A8A17">
      <w:pPr>
        <w:pStyle w:val="14"/>
        <w:rPr>
          <w:rFonts w:hint="eastAsia" w:ascii="仿宋_GB2312" w:hAnsi="仿宋_GB2312" w:eastAsia="仿宋_GB2312"/>
          <w:snapToGrid w:val="0"/>
          <w:sz w:val="24"/>
          <w:lang w:val="en-US" w:eastAsia="zh-CN"/>
        </w:rPr>
      </w:pPr>
    </w:p>
    <w:p w14:paraId="32CA2C96">
      <w:pPr>
        <w:pStyle w:val="14"/>
        <w:rPr>
          <w:rFonts w:hint="eastAsia" w:ascii="仿宋_GB2312" w:hAnsi="仿宋_GB2312" w:eastAsia="仿宋_GB2312"/>
          <w:snapToGrid w:val="0"/>
          <w:sz w:val="24"/>
          <w:lang w:val="en-US" w:eastAsia="zh-CN"/>
        </w:rPr>
      </w:pPr>
    </w:p>
    <w:p w14:paraId="16261FEB">
      <w:pPr>
        <w:pStyle w:val="14"/>
        <w:rPr>
          <w:rFonts w:hint="eastAsia" w:ascii="仿宋_GB2312" w:hAnsi="仿宋_GB2312" w:eastAsia="仿宋_GB2312"/>
          <w:snapToGrid w:val="0"/>
          <w:sz w:val="24"/>
          <w:lang w:val="en-US" w:eastAsia="zh-CN"/>
        </w:rPr>
      </w:pPr>
    </w:p>
    <w:p w14:paraId="65B62B50">
      <w:pPr>
        <w:pStyle w:val="14"/>
        <w:rPr>
          <w:rFonts w:hint="eastAsia" w:ascii="仿宋_GB2312" w:hAnsi="仿宋_GB2312" w:eastAsia="仿宋_GB2312"/>
          <w:snapToGrid w:val="0"/>
          <w:sz w:val="24"/>
          <w:lang w:val="en-US" w:eastAsia="zh-CN"/>
        </w:rPr>
      </w:pPr>
    </w:p>
    <w:p w14:paraId="39473A31">
      <w:pPr>
        <w:pStyle w:val="14"/>
        <w:rPr>
          <w:rFonts w:hint="eastAsia" w:ascii="仿宋_GB2312" w:hAnsi="仿宋_GB2312" w:eastAsia="仿宋_GB2312"/>
          <w:snapToGrid w:val="0"/>
          <w:sz w:val="24"/>
          <w:lang w:val="en-US" w:eastAsia="zh-CN"/>
        </w:rPr>
      </w:pPr>
    </w:p>
    <w:p w14:paraId="75C89B68">
      <w:pPr>
        <w:pStyle w:val="14"/>
        <w:rPr>
          <w:rFonts w:hint="eastAsia" w:ascii="仿宋_GB2312" w:hAnsi="仿宋_GB2312" w:eastAsia="仿宋_GB2312"/>
          <w:snapToGrid w:val="0"/>
          <w:sz w:val="24"/>
          <w:lang w:val="en-US" w:eastAsia="zh-CN"/>
        </w:rPr>
      </w:pPr>
    </w:p>
    <w:p w14:paraId="48E146F4">
      <w:pPr>
        <w:pStyle w:val="14"/>
        <w:rPr>
          <w:rFonts w:hint="eastAsia" w:ascii="仿宋_GB2312" w:hAnsi="仿宋_GB2312" w:eastAsia="仿宋_GB2312"/>
          <w:snapToGrid w:val="0"/>
          <w:sz w:val="24"/>
          <w:lang w:val="en-US" w:eastAsia="zh-CN"/>
        </w:rPr>
      </w:pPr>
    </w:p>
    <w:p w14:paraId="39BD68D1">
      <w:pPr>
        <w:pStyle w:val="14"/>
        <w:rPr>
          <w:rFonts w:hint="eastAsia" w:ascii="仿宋_GB2312" w:hAnsi="仿宋_GB2312" w:eastAsia="仿宋_GB2312"/>
          <w:snapToGrid w:val="0"/>
          <w:sz w:val="24"/>
          <w:lang w:val="en-US" w:eastAsia="zh-CN"/>
        </w:rPr>
      </w:pPr>
    </w:p>
    <w:p w14:paraId="43AA8A20">
      <w:pPr>
        <w:pStyle w:val="14"/>
        <w:rPr>
          <w:rFonts w:hint="eastAsia" w:ascii="仿宋_GB2312" w:hAnsi="仿宋_GB2312" w:eastAsia="仿宋_GB2312"/>
          <w:snapToGrid w:val="0"/>
          <w:sz w:val="24"/>
          <w:lang w:val="en-US" w:eastAsia="zh-CN"/>
        </w:rPr>
      </w:pPr>
    </w:p>
    <w:p w14:paraId="6F294B3B">
      <w:pPr>
        <w:pStyle w:val="14"/>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14"/>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14"/>
        <w:rPr>
          <w:rFonts w:ascii="仿宋_GB2312" w:hAnsi="仿宋_GB2312" w:eastAsia="仿宋_GB2312"/>
          <w:b/>
          <w:bCs/>
          <w:sz w:val="36"/>
        </w:rPr>
      </w:pPr>
    </w:p>
    <w:p w14:paraId="6993C943">
      <w:pPr>
        <w:pStyle w:val="14"/>
        <w:rPr>
          <w:rFonts w:ascii="仿宋_GB2312" w:hAnsi="仿宋_GB2312" w:eastAsia="仿宋_GB2312"/>
          <w:b/>
          <w:bCs/>
          <w:sz w:val="36"/>
        </w:rPr>
      </w:pPr>
    </w:p>
    <w:p w14:paraId="3CBEF13D">
      <w:pPr>
        <w:pStyle w:val="14"/>
        <w:rPr>
          <w:rFonts w:hint="eastAsia" w:ascii="仿宋_GB2312" w:hAnsi="仿宋_GB2312" w:eastAsia="仿宋_GB2312"/>
          <w:b/>
          <w:bCs/>
          <w:sz w:val="36"/>
          <w:lang w:eastAsia="zh-CN"/>
        </w:rPr>
      </w:pPr>
    </w:p>
    <w:p w14:paraId="2048F334">
      <w:pPr>
        <w:pStyle w:val="14"/>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7"/>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14"/>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b w:val="0"/>
          <w:bCs w:val="0"/>
          <w:sz w:val="24"/>
          <w:szCs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428"/>
        <w:gridCol w:w="1172"/>
        <w:gridCol w:w="2491"/>
        <w:gridCol w:w="968"/>
        <w:gridCol w:w="789"/>
        <w:gridCol w:w="966"/>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838" w:type="pct"/>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688" w:type="pct"/>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1462" w:type="pct"/>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568" w:type="pct"/>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463" w:type="pct"/>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565" w:type="pct"/>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1D87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7B92DDCB">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838" w:type="pct"/>
            <w:shd w:val="clear" w:color="auto" w:fill="auto"/>
            <w:vAlign w:val="center"/>
          </w:tcPr>
          <w:p w14:paraId="7F3E62BB">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w:t>
            </w:r>
          </w:p>
        </w:tc>
        <w:tc>
          <w:tcPr>
            <w:tcW w:w="688" w:type="pct"/>
            <w:shd w:val="clear" w:color="auto" w:fill="auto"/>
          </w:tcPr>
          <w:p w14:paraId="4B8ADFFA">
            <w:pPr>
              <w:spacing w:line="276" w:lineRule="auto"/>
              <w:jc w:val="center"/>
              <w:rPr>
                <w:rFonts w:ascii="仿宋_GB2312" w:hAnsi="仿宋_GB2312" w:eastAsia="仿宋_GB2312"/>
                <w:sz w:val="24"/>
              </w:rPr>
            </w:pPr>
          </w:p>
        </w:tc>
        <w:tc>
          <w:tcPr>
            <w:tcW w:w="1462" w:type="pct"/>
            <w:shd w:val="clear" w:color="auto" w:fill="auto"/>
          </w:tcPr>
          <w:p w14:paraId="5F3301CB">
            <w:pPr>
              <w:spacing w:line="276" w:lineRule="auto"/>
              <w:jc w:val="center"/>
              <w:rPr>
                <w:rFonts w:ascii="仿宋_GB2312" w:hAnsi="仿宋_GB2312" w:eastAsia="仿宋_GB2312"/>
                <w:sz w:val="24"/>
              </w:rPr>
            </w:pPr>
          </w:p>
        </w:tc>
        <w:tc>
          <w:tcPr>
            <w:tcW w:w="568" w:type="pct"/>
            <w:shd w:val="clear" w:color="auto" w:fill="auto"/>
          </w:tcPr>
          <w:p w14:paraId="78A94236">
            <w:pPr>
              <w:spacing w:line="276" w:lineRule="auto"/>
              <w:jc w:val="center"/>
              <w:rPr>
                <w:rFonts w:ascii="仿宋_GB2312" w:hAnsi="仿宋_GB2312" w:eastAsia="仿宋_GB2312"/>
                <w:sz w:val="24"/>
              </w:rPr>
            </w:pPr>
          </w:p>
        </w:tc>
        <w:tc>
          <w:tcPr>
            <w:tcW w:w="463" w:type="pct"/>
            <w:shd w:val="clear" w:color="auto" w:fill="auto"/>
          </w:tcPr>
          <w:p w14:paraId="32A21779">
            <w:pPr>
              <w:spacing w:line="276" w:lineRule="auto"/>
              <w:jc w:val="center"/>
              <w:rPr>
                <w:rFonts w:ascii="仿宋_GB2312" w:hAnsi="仿宋_GB2312" w:eastAsia="仿宋_GB2312"/>
                <w:sz w:val="24"/>
              </w:rPr>
            </w:pPr>
          </w:p>
        </w:tc>
        <w:tc>
          <w:tcPr>
            <w:tcW w:w="565" w:type="pct"/>
            <w:shd w:val="clear" w:color="auto" w:fill="auto"/>
          </w:tcPr>
          <w:p w14:paraId="1204813B">
            <w:pPr>
              <w:spacing w:line="276" w:lineRule="auto"/>
              <w:jc w:val="center"/>
              <w:rPr>
                <w:rFonts w:ascii="仿宋_GB2312" w:hAnsi="仿宋_GB2312" w:eastAsia="仿宋_GB2312"/>
                <w:sz w:val="24"/>
              </w:rPr>
            </w:pPr>
          </w:p>
        </w:tc>
      </w:tr>
      <w:tr w14:paraId="4888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36875481">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838" w:type="pct"/>
            <w:shd w:val="clear" w:color="auto" w:fill="auto"/>
            <w:vAlign w:val="center"/>
          </w:tcPr>
          <w:p w14:paraId="7B8B5E3B">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帐篷布</w:t>
            </w:r>
          </w:p>
        </w:tc>
        <w:tc>
          <w:tcPr>
            <w:tcW w:w="688" w:type="pct"/>
            <w:shd w:val="clear" w:color="auto" w:fill="auto"/>
          </w:tcPr>
          <w:p w14:paraId="0CECA387">
            <w:pPr>
              <w:spacing w:line="276" w:lineRule="auto"/>
              <w:jc w:val="center"/>
              <w:rPr>
                <w:rFonts w:ascii="仿宋_GB2312" w:hAnsi="仿宋_GB2312" w:eastAsia="仿宋_GB2312"/>
                <w:sz w:val="24"/>
              </w:rPr>
            </w:pPr>
          </w:p>
        </w:tc>
        <w:tc>
          <w:tcPr>
            <w:tcW w:w="1462" w:type="pct"/>
            <w:shd w:val="clear" w:color="auto" w:fill="auto"/>
          </w:tcPr>
          <w:p w14:paraId="2CCF47A0">
            <w:pPr>
              <w:spacing w:line="276" w:lineRule="auto"/>
              <w:jc w:val="center"/>
              <w:rPr>
                <w:rFonts w:ascii="仿宋_GB2312" w:hAnsi="仿宋_GB2312" w:eastAsia="仿宋_GB2312"/>
                <w:sz w:val="24"/>
              </w:rPr>
            </w:pPr>
          </w:p>
        </w:tc>
        <w:tc>
          <w:tcPr>
            <w:tcW w:w="568" w:type="pct"/>
            <w:shd w:val="clear" w:color="auto" w:fill="auto"/>
          </w:tcPr>
          <w:p w14:paraId="18546DA5">
            <w:pPr>
              <w:spacing w:line="276" w:lineRule="auto"/>
              <w:jc w:val="center"/>
              <w:rPr>
                <w:rFonts w:ascii="仿宋_GB2312" w:hAnsi="仿宋_GB2312" w:eastAsia="仿宋_GB2312"/>
                <w:sz w:val="24"/>
              </w:rPr>
            </w:pPr>
          </w:p>
        </w:tc>
        <w:tc>
          <w:tcPr>
            <w:tcW w:w="463" w:type="pct"/>
            <w:shd w:val="clear" w:color="auto" w:fill="auto"/>
          </w:tcPr>
          <w:p w14:paraId="252B2325">
            <w:pPr>
              <w:spacing w:line="276" w:lineRule="auto"/>
              <w:jc w:val="center"/>
              <w:rPr>
                <w:rFonts w:ascii="仿宋_GB2312" w:hAnsi="仿宋_GB2312" w:eastAsia="仿宋_GB2312"/>
                <w:sz w:val="24"/>
              </w:rPr>
            </w:pPr>
          </w:p>
        </w:tc>
        <w:tc>
          <w:tcPr>
            <w:tcW w:w="565" w:type="pct"/>
            <w:shd w:val="clear" w:color="auto" w:fill="auto"/>
          </w:tcPr>
          <w:p w14:paraId="7B92029B">
            <w:pPr>
              <w:spacing w:line="276" w:lineRule="auto"/>
              <w:jc w:val="center"/>
              <w:rPr>
                <w:rFonts w:ascii="仿宋_GB2312" w:hAnsi="仿宋_GB2312" w:eastAsia="仿宋_GB2312"/>
                <w:sz w:val="24"/>
              </w:rPr>
            </w:pPr>
          </w:p>
        </w:tc>
      </w:tr>
      <w:tr w14:paraId="6DB7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0ACD60DC">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3</w:t>
            </w:r>
          </w:p>
        </w:tc>
        <w:tc>
          <w:tcPr>
            <w:tcW w:w="838" w:type="pct"/>
            <w:shd w:val="clear" w:color="auto" w:fill="auto"/>
            <w:vAlign w:val="center"/>
          </w:tcPr>
          <w:p w14:paraId="2506BB63">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铁三通</w:t>
            </w:r>
          </w:p>
        </w:tc>
        <w:tc>
          <w:tcPr>
            <w:tcW w:w="688" w:type="pct"/>
            <w:shd w:val="clear" w:color="auto" w:fill="auto"/>
          </w:tcPr>
          <w:p w14:paraId="59D689AF">
            <w:pPr>
              <w:spacing w:line="276" w:lineRule="auto"/>
              <w:jc w:val="center"/>
              <w:rPr>
                <w:rFonts w:ascii="仿宋_GB2312" w:hAnsi="仿宋_GB2312" w:eastAsia="仿宋_GB2312"/>
                <w:sz w:val="24"/>
              </w:rPr>
            </w:pPr>
          </w:p>
        </w:tc>
        <w:tc>
          <w:tcPr>
            <w:tcW w:w="1462" w:type="pct"/>
            <w:shd w:val="clear" w:color="auto" w:fill="auto"/>
          </w:tcPr>
          <w:p w14:paraId="3DCAA610">
            <w:pPr>
              <w:spacing w:line="276" w:lineRule="auto"/>
              <w:jc w:val="center"/>
              <w:rPr>
                <w:rFonts w:ascii="仿宋_GB2312" w:hAnsi="仿宋_GB2312" w:eastAsia="仿宋_GB2312"/>
                <w:sz w:val="24"/>
              </w:rPr>
            </w:pPr>
          </w:p>
        </w:tc>
        <w:tc>
          <w:tcPr>
            <w:tcW w:w="568" w:type="pct"/>
            <w:shd w:val="clear" w:color="auto" w:fill="auto"/>
          </w:tcPr>
          <w:p w14:paraId="424DA97D">
            <w:pPr>
              <w:spacing w:line="276" w:lineRule="auto"/>
              <w:jc w:val="center"/>
              <w:rPr>
                <w:rFonts w:ascii="仿宋_GB2312" w:hAnsi="仿宋_GB2312" w:eastAsia="仿宋_GB2312"/>
                <w:sz w:val="24"/>
              </w:rPr>
            </w:pPr>
          </w:p>
        </w:tc>
        <w:tc>
          <w:tcPr>
            <w:tcW w:w="463" w:type="pct"/>
            <w:shd w:val="clear" w:color="auto" w:fill="auto"/>
          </w:tcPr>
          <w:p w14:paraId="103E61A1">
            <w:pPr>
              <w:spacing w:line="276" w:lineRule="auto"/>
              <w:jc w:val="center"/>
              <w:rPr>
                <w:rFonts w:ascii="仿宋_GB2312" w:hAnsi="仿宋_GB2312" w:eastAsia="仿宋_GB2312"/>
                <w:sz w:val="24"/>
              </w:rPr>
            </w:pPr>
          </w:p>
        </w:tc>
        <w:tc>
          <w:tcPr>
            <w:tcW w:w="565" w:type="pct"/>
            <w:shd w:val="clear" w:color="auto" w:fill="auto"/>
          </w:tcPr>
          <w:p w14:paraId="423EF311">
            <w:pPr>
              <w:spacing w:line="276" w:lineRule="auto"/>
              <w:jc w:val="center"/>
              <w:rPr>
                <w:rFonts w:ascii="仿宋_GB2312" w:hAnsi="仿宋_GB2312" w:eastAsia="仿宋_GB2312"/>
                <w:sz w:val="24"/>
              </w:rPr>
            </w:pPr>
          </w:p>
        </w:tc>
      </w:tr>
      <w:tr w14:paraId="4D67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07A56075">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4</w:t>
            </w:r>
          </w:p>
        </w:tc>
        <w:tc>
          <w:tcPr>
            <w:tcW w:w="838" w:type="pct"/>
            <w:shd w:val="clear" w:color="auto" w:fill="auto"/>
            <w:vAlign w:val="center"/>
          </w:tcPr>
          <w:p w14:paraId="19479863">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塑料三通</w:t>
            </w:r>
          </w:p>
        </w:tc>
        <w:tc>
          <w:tcPr>
            <w:tcW w:w="688" w:type="pct"/>
            <w:shd w:val="clear" w:color="auto" w:fill="auto"/>
          </w:tcPr>
          <w:p w14:paraId="220D94E3">
            <w:pPr>
              <w:spacing w:line="276" w:lineRule="auto"/>
              <w:jc w:val="center"/>
              <w:rPr>
                <w:rFonts w:ascii="仿宋_GB2312" w:hAnsi="仿宋_GB2312" w:eastAsia="仿宋_GB2312"/>
                <w:sz w:val="24"/>
              </w:rPr>
            </w:pPr>
          </w:p>
        </w:tc>
        <w:tc>
          <w:tcPr>
            <w:tcW w:w="1462" w:type="pct"/>
            <w:shd w:val="clear" w:color="auto" w:fill="auto"/>
          </w:tcPr>
          <w:p w14:paraId="5F8E3E98">
            <w:pPr>
              <w:spacing w:line="276" w:lineRule="auto"/>
              <w:jc w:val="center"/>
              <w:rPr>
                <w:rFonts w:ascii="仿宋_GB2312" w:hAnsi="仿宋_GB2312" w:eastAsia="仿宋_GB2312"/>
                <w:sz w:val="24"/>
              </w:rPr>
            </w:pPr>
          </w:p>
        </w:tc>
        <w:tc>
          <w:tcPr>
            <w:tcW w:w="568" w:type="pct"/>
            <w:shd w:val="clear" w:color="auto" w:fill="auto"/>
          </w:tcPr>
          <w:p w14:paraId="6A299628">
            <w:pPr>
              <w:spacing w:line="276" w:lineRule="auto"/>
              <w:jc w:val="center"/>
              <w:rPr>
                <w:rFonts w:ascii="仿宋_GB2312" w:hAnsi="仿宋_GB2312" w:eastAsia="仿宋_GB2312"/>
                <w:sz w:val="24"/>
              </w:rPr>
            </w:pPr>
          </w:p>
        </w:tc>
        <w:tc>
          <w:tcPr>
            <w:tcW w:w="463" w:type="pct"/>
            <w:shd w:val="clear" w:color="auto" w:fill="auto"/>
          </w:tcPr>
          <w:p w14:paraId="2EB8B3AF">
            <w:pPr>
              <w:spacing w:line="276" w:lineRule="auto"/>
              <w:jc w:val="center"/>
              <w:rPr>
                <w:rFonts w:ascii="仿宋_GB2312" w:hAnsi="仿宋_GB2312" w:eastAsia="仿宋_GB2312"/>
                <w:sz w:val="24"/>
              </w:rPr>
            </w:pPr>
          </w:p>
        </w:tc>
        <w:tc>
          <w:tcPr>
            <w:tcW w:w="565" w:type="pct"/>
            <w:shd w:val="clear" w:color="auto" w:fill="auto"/>
          </w:tcPr>
          <w:p w14:paraId="0AFE1D9A">
            <w:pPr>
              <w:spacing w:line="276" w:lineRule="auto"/>
              <w:jc w:val="center"/>
              <w:rPr>
                <w:rFonts w:ascii="仿宋_GB2312" w:hAnsi="仿宋_GB2312" w:eastAsia="仿宋_GB2312"/>
                <w:sz w:val="24"/>
              </w:rPr>
            </w:pPr>
          </w:p>
        </w:tc>
      </w:tr>
      <w:tr w14:paraId="3DD6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437EE56E">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5</w:t>
            </w:r>
          </w:p>
        </w:tc>
        <w:tc>
          <w:tcPr>
            <w:tcW w:w="838" w:type="pct"/>
            <w:shd w:val="clear" w:color="auto" w:fill="auto"/>
            <w:vAlign w:val="center"/>
          </w:tcPr>
          <w:p w14:paraId="744F5B14">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底座螺杆+螺帽</w:t>
            </w:r>
          </w:p>
        </w:tc>
        <w:tc>
          <w:tcPr>
            <w:tcW w:w="688" w:type="pct"/>
            <w:shd w:val="clear" w:color="auto" w:fill="auto"/>
          </w:tcPr>
          <w:p w14:paraId="1F701FBF">
            <w:pPr>
              <w:spacing w:line="276" w:lineRule="auto"/>
              <w:jc w:val="center"/>
              <w:rPr>
                <w:rFonts w:ascii="仿宋_GB2312" w:hAnsi="仿宋_GB2312" w:eastAsia="仿宋_GB2312"/>
                <w:sz w:val="24"/>
              </w:rPr>
            </w:pPr>
          </w:p>
        </w:tc>
        <w:tc>
          <w:tcPr>
            <w:tcW w:w="1462" w:type="pct"/>
            <w:shd w:val="clear" w:color="auto" w:fill="auto"/>
          </w:tcPr>
          <w:p w14:paraId="6AB4E99D">
            <w:pPr>
              <w:spacing w:line="276" w:lineRule="auto"/>
              <w:jc w:val="center"/>
              <w:rPr>
                <w:rFonts w:ascii="仿宋_GB2312" w:hAnsi="仿宋_GB2312" w:eastAsia="仿宋_GB2312"/>
                <w:sz w:val="24"/>
              </w:rPr>
            </w:pPr>
          </w:p>
        </w:tc>
        <w:tc>
          <w:tcPr>
            <w:tcW w:w="568" w:type="pct"/>
            <w:shd w:val="clear" w:color="auto" w:fill="auto"/>
          </w:tcPr>
          <w:p w14:paraId="4C819F11">
            <w:pPr>
              <w:spacing w:line="276" w:lineRule="auto"/>
              <w:jc w:val="center"/>
              <w:rPr>
                <w:rFonts w:ascii="仿宋_GB2312" w:hAnsi="仿宋_GB2312" w:eastAsia="仿宋_GB2312"/>
                <w:sz w:val="24"/>
              </w:rPr>
            </w:pPr>
          </w:p>
        </w:tc>
        <w:tc>
          <w:tcPr>
            <w:tcW w:w="463" w:type="pct"/>
            <w:shd w:val="clear" w:color="auto" w:fill="auto"/>
          </w:tcPr>
          <w:p w14:paraId="66BAE0EB">
            <w:pPr>
              <w:spacing w:line="276" w:lineRule="auto"/>
              <w:jc w:val="center"/>
              <w:rPr>
                <w:rFonts w:ascii="仿宋_GB2312" w:hAnsi="仿宋_GB2312" w:eastAsia="仿宋_GB2312"/>
                <w:sz w:val="24"/>
              </w:rPr>
            </w:pPr>
          </w:p>
        </w:tc>
        <w:tc>
          <w:tcPr>
            <w:tcW w:w="565" w:type="pct"/>
            <w:shd w:val="clear" w:color="auto" w:fill="auto"/>
          </w:tcPr>
          <w:p w14:paraId="4ED87994">
            <w:pPr>
              <w:spacing w:line="276" w:lineRule="auto"/>
              <w:jc w:val="center"/>
              <w:rPr>
                <w:rFonts w:ascii="仿宋_GB2312" w:hAnsi="仿宋_GB2312" w:eastAsia="仿宋_GB2312"/>
                <w:sz w:val="24"/>
              </w:rPr>
            </w:pPr>
          </w:p>
        </w:tc>
      </w:tr>
      <w:tr w14:paraId="7EA4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32D2781E">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6</w:t>
            </w:r>
          </w:p>
        </w:tc>
        <w:tc>
          <w:tcPr>
            <w:tcW w:w="838" w:type="pct"/>
            <w:shd w:val="clear" w:color="auto" w:fill="auto"/>
            <w:vAlign w:val="center"/>
          </w:tcPr>
          <w:p w14:paraId="0C9BFE39">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水带</w:t>
            </w:r>
          </w:p>
        </w:tc>
        <w:tc>
          <w:tcPr>
            <w:tcW w:w="688" w:type="pct"/>
            <w:shd w:val="clear" w:color="auto" w:fill="auto"/>
          </w:tcPr>
          <w:p w14:paraId="70300C03">
            <w:pPr>
              <w:spacing w:line="276" w:lineRule="auto"/>
              <w:jc w:val="center"/>
              <w:rPr>
                <w:rFonts w:ascii="仿宋_GB2312" w:hAnsi="仿宋_GB2312" w:eastAsia="仿宋_GB2312"/>
                <w:sz w:val="24"/>
              </w:rPr>
            </w:pPr>
          </w:p>
        </w:tc>
        <w:tc>
          <w:tcPr>
            <w:tcW w:w="1462" w:type="pct"/>
            <w:shd w:val="clear" w:color="auto" w:fill="auto"/>
          </w:tcPr>
          <w:p w14:paraId="3C99C5DA">
            <w:pPr>
              <w:spacing w:line="276" w:lineRule="auto"/>
              <w:jc w:val="center"/>
              <w:rPr>
                <w:rFonts w:ascii="仿宋_GB2312" w:hAnsi="仿宋_GB2312" w:eastAsia="仿宋_GB2312"/>
                <w:sz w:val="24"/>
              </w:rPr>
            </w:pPr>
          </w:p>
        </w:tc>
        <w:tc>
          <w:tcPr>
            <w:tcW w:w="568" w:type="pct"/>
            <w:shd w:val="clear" w:color="auto" w:fill="auto"/>
          </w:tcPr>
          <w:p w14:paraId="4AE21A13">
            <w:pPr>
              <w:spacing w:line="276" w:lineRule="auto"/>
              <w:jc w:val="center"/>
              <w:rPr>
                <w:rFonts w:ascii="仿宋_GB2312" w:hAnsi="仿宋_GB2312" w:eastAsia="仿宋_GB2312"/>
                <w:sz w:val="24"/>
              </w:rPr>
            </w:pPr>
          </w:p>
        </w:tc>
        <w:tc>
          <w:tcPr>
            <w:tcW w:w="463" w:type="pct"/>
            <w:shd w:val="clear" w:color="auto" w:fill="auto"/>
          </w:tcPr>
          <w:p w14:paraId="6A9A8B76">
            <w:pPr>
              <w:spacing w:line="276" w:lineRule="auto"/>
              <w:jc w:val="center"/>
              <w:rPr>
                <w:rFonts w:ascii="仿宋_GB2312" w:hAnsi="仿宋_GB2312" w:eastAsia="仿宋_GB2312"/>
                <w:sz w:val="24"/>
              </w:rPr>
            </w:pPr>
          </w:p>
        </w:tc>
        <w:tc>
          <w:tcPr>
            <w:tcW w:w="565" w:type="pct"/>
            <w:shd w:val="clear" w:color="auto" w:fill="auto"/>
          </w:tcPr>
          <w:p w14:paraId="71D290BC">
            <w:pPr>
              <w:spacing w:line="276" w:lineRule="auto"/>
              <w:jc w:val="center"/>
              <w:rPr>
                <w:rFonts w:ascii="仿宋_GB2312" w:hAnsi="仿宋_GB2312" w:eastAsia="仿宋_GB2312"/>
                <w:sz w:val="24"/>
              </w:rPr>
            </w:pPr>
          </w:p>
        </w:tc>
      </w:tr>
      <w:tr w14:paraId="5165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2002D2E1">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838" w:type="pct"/>
            <w:shd w:val="clear" w:color="auto" w:fill="auto"/>
            <w:vAlign w:val="center"/>
          </w:tcPr>
          <w:p w14:paraId="32D259EA">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折叠桌</w:t>
            </w:r>
          </w:p>
        </w:tc>
        <w:tc>
          <w:tcPr>
            <w:tcW w:w="688" w:type="pct"/>
            <w:shd w:val="clear" w:color="auto" w:fill="auto"/>
          </w:tcPr>
          <w:p w14:paraId="3227DB1C">
            <w:pPr>
              <w:spacing w:line="276" w:lineRule="auto"/>
              <w:jc w:val="center"/>
              <w:rPr>
                <w:rFonts w:ascii="仿宋_GB2312" w:hAnsi="仿宋_GB2312" w:eastAsia="仿宋_GB2312"/>
                <w:sz w:val="24"/>
              </w:rPr>
            </w:pPr>
          </w:p>
        </w:tc>
        <w:tc>
          <w:tcPr>
            <w:tcW w:w="1462" w:type="pct"/>
            <w:shd w:val="clear" w:color="auto" w:fill="auto"/>
          </w:tcPr>
          <w:p w14:paraId="0449DB7D">
            <w:pPr>
              <w:spacing w:line="276" w:lineRule="auto"/>
              <w:jc w:val="center"/>
              <w:rPr>
                <w:rFonts w:ascii="仿宋_GB2312" w:hAnsi="仿宋_GB2312" w:eastAsia="仿宋_GB2312"/>
                <w:sz w:val="24"/>
              </w:rPr>
            </w:pPr>
          </w:p>
        </w:tc>
        <w:tc>
          <w:tcPr>
            <w:tcW w:w="568" w:type="pct"/>
            <w:shd w:val="clear" w:color="auto" w:fill="auto"/>
          </w:tcPr>
          <w:p w14:paraId="13F595B6">
            <w:pPr>
              <w:spacing w:line="276" w:lineRule="auto"/>
              <w:jc w:val="center"/>
              <w:rPr>
                <w:rFonts w:ascii="仿宋_GB2312" w:hAnsi="仿宋_GB2312" w:eastAsia="仿宋_GB2312"/>
                <w:sz w:val="24"/>
              </w:rPr>
            </w:pPr>
          </w:p>
        </w:tc>
        <w:tc>
          <w:tcPr>
            <w:tcW w:w="463" w:type="pct"/>
            <w:shd w:val="clear" w:color="auto" w:fill="auto"/>
          </w:tcPr>
          <w:p w14:paraId="09F9F80B">
            <w:pPr>
              <w:spacing w:line="276" w:lineRule="auto"/>
              <w:jc w:val="center"/>
              <w:rPr>
                <w:rFonts w:ascii="仿宋_GB2312" w:hAnsi="仿宋_GB2312" w:eastAsia="仿宋_GB2312"/>
                <w:sz w:val="24"/>
              </w:rPr>
            </w:pPr>
          </w:p>
        </w:tc>
        <w:tc>
          <w:tcPr>
            <w:tcW w:w="565" w:type="pct"/>
            <w:shd w:val="clear" w:color="auto" w:fill="auto"/>
          </w:tcPr>
          <w:p w14:paraId="4DD6E995">
            <w:pPr>
              <w:spacing w:line="276" w:lineRule="auto"/>
              <w:jc w:val="center"/>
              <w:rPr>
                <w:rFonts w:ascii="仿宋_GB2312" w:hAnsi="仿宋_GB2312" w:eastAsia="仿宋_GB2312"/>
                <w:sz w:val="24"/>
              </w:rPr>
            </w:pPr>
          </w:p>
        </w:tc>
      </w:tr>
      <w:tr w14:paraId="1D8A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6D6E5242">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8</w:t>
            </w:r>
          </w:p>
        </w:tc>
        <w:tc>
          <w:tcPr>
            <w:tcW w:w="838" w:type="pct"/>
            <w:shd w:val="clear" w:color="auto" w:fill="auto"/>
            <w:vAlign w:val="center"/>
          </w:tcPr>
          <w:p w14:paraId="4761B214">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折叠椅</w:t>
            </w:r>
          </w:p>
        </w:tc>
        <w:tc>
          <w:tcPr>
            <w:tcW w:w="688" w:type="pct"/>
            <w:shd w:val="clear" w:color="auto" w:fill="auto"/>
          </w:tcPr>
          <w:p w14:paraId="04BBD5F8">
            <w:pPr>
              <w:spacing w:line="276" w:lineRule="auto"/>
              <w:jc w:val="center"/>
              <w:rPr>
                <w:rFonts w:ascii="仿宋_GB2312" w:hAnsi="仿宋_GB2312" w:eastAsia="仿宋_GB2312"/>
                <w:sz w:val="24"/>
              </w:rPr>
            </w:pPr>
          </w:p>
        </w:tc>
        <w:tc>
          <w:tcPr>
            <w:tcW w:w="1462" w:type="pct"/>
            <w:shd w:val="clear" w:color="auto" w:fill="auto"/>
          </w:tcPr>
          <w:p w14:paraId="1E40355A">
            <w:pPr>
              <w:spacing w:line="276" w:lineRule="auto"/>
              <w:jc w:val="center"/>
              <w:rPr>
                <w:rFonts w:ascii="仿宋_GB2312" w:hAnsi="仿宋_GB2312" w:eastAsia="仿宋_GB2312"/>
                <w:sz w:val="24"/>
              </w:rPr>
            </w:pPr>
          </w:p>
        </w:tc>
        <w:tc>
          <w:tcPr>
            <w:tcW w:w="568" w:type="pct"/>
            <w:shd w:val="clear" w:color="auto" w:fill="auto"/>
          </w:tcPr>
          <w:p w14:paraId="65019FAA">
            <w:pPr>
              <w:spacing w:line="276" w:lineRule="auto"/>
              <w:jc w:val="center"/>
              <w:rPr>
                <w:rFonts w:ascii="仿宋_GB2312" w:hAnsi="仿宋_GB2312" w:eastAsia="仿宋_GB2312"/>
                <w:sz w:val="24"/>
              </w:rPr>
            </w:pPr>
          </w:p>
        </w:tc>
        <w:tc>
          <w:tcPr>
            <w:tcW w:w="463" w:type="pct"/>
            <w:shd w:val="clear" w:color="auto" w:fill="auto"/>
          </w:tcPr>
          <w:p w14:paraId="11F7B8B5">
            <w:pPr>
              <w:spacing w:line="276" w:lineRule="auto"/>
              <w:jc w:val="center"/>
              <w:rPr>
                <w:rFonts w:ascii="仿宋_GB2312" w:hAnsi="仿宋_GB2312" w:eastAsia="仿宋_GB2312"/>
                <w:sz w:val="24"/>
              </w:rPr>
            </w:pPr>
          </w:p>
        </w:tc>
        <w:tc>
          <w:tcPr>
            <w:tcW w:w="565" w:type="pct"/>
            <w:shd w:val="clear" w:color="auto" w:fill="auto"/>
          </w:tcPr>
          <w:p w14:paraId="3D5CF7C5">
            <w:pPr>
              <w:spacing w:line="276" w:lineRule="auto"/>
              <w:jc w:val="center"/>
              <w:rPr>
                <w:rFonts w:ascii="仿宋_GB2312" w:hAnsi="仿宋_GB2312" w:eastAsia="仿宋_GB2312"/>
                <w:sz w:val="24"/>
              </w:rPr>
            </w:pPr>
          </w:p>
        </w:tc>
      </w:tr>
      <w:tr w14:paraId="15CB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2C861CAA">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9</w:t>
            </w:r>
          </w:p>
        </w:tc>
        <w:tc>
          <w:tcPr>
            <w:tcW w:w="838" w:type="pct"/>
            <w:shd w:val="clear" w:color="auto" w:fill="auto"/>
            <w:vAlign w:val="center"/>
          </w:tcPr>
          <w:p w14:paraId="76769B67">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白色桌布</w:t>
            </w:r>
          </w:p>
        </w:tc>
        <w:tc>
          <w:tcPr>
            <w:tcW w:w="688" w:type="pct"/>
            <w:shd w:val="clear" w:color="auto" w:fill="auto"/>
          </w:tcPr>
          <w:p w14:paraId="5A84DB07">
            <w:pPr>
              <w:spacing w:line="276" w:lineRule="auto"/>
              <w:jc w:val="center"/>
              <w:rPr>
                <w:rFonts w:ascii="仿宋_GB2312" w:hAnsi="仿宋_GB2312" w:eastAsia="仿宋_GB2312"/>
                <w:sz w:val="24"/>
              </w:rPr>
            </w:pPr>
          </w:p>
        </w:tc>
        <w:tc>
          <w:tcPr>
            <w:tcW w:w="1462" w:type="pct"/>
            <w:shd w:val="clear" w:color="auto" w:fill="auto"/>
          </w:tcPr>
          <w:p w14:paraId="53495062">
            <w:pPr>
              <w:spacing w:line="276" w:lineRule="auto"/>
              <w:jc w:val="center"/>
              <w:rPr>
                <w:rFonts w:ascii="仿宋_GB2312" w:hAnsi="仿宋_GB2312" w:eastAsia="仿宋_GB2312"/>
                <w:sz w:val="24"/>
              </w:rPr>
            </w:pPr>
          </w:p>
        </w:tc>
        <w:tc>
          <w:tcPr>
            <w:tcW w:w="568" w:type="pct"/>
            <w:shd w:val="clear" w:color="auto" w:fill="auto"/>
          </w:tcPr>
          <w:p w14:paraId="4231819D">
            <w:pPr>
              <w:spacing w:line="276" w:lineRule="auto"/>
              <w:jc w:val="center"/>
              <w:rPr>
                <w:rFonts w:ascii="仿宋_GB2312" w:hAnsi="仿宋_GB2312" w:eastAsia="仿宋_GB2312"/>
                <w:sz w:val="24"/>
              </w:rPr>
            </w:pPr>
          </w:p>
        </w:tc>
        <w:tc>
          <w:tcPr>
            <w:tcW w:w="463" w:type="pct"/>
            <w:shd w:val="clear" w:color="auto" w:fill="auto"/>
          </w:tcPr>
          <w:p w14:paraId="2973CB32">
            <w:pPr>
              <w:spacing w:line="276" w:lineRule="auto"/>
              <w:jc w:val="center"/>
              <w:rPr>
                <w:rFonts w:ascii="仿宋_GB2312" w:hAnsi="仿宋_GB2312" w:eastAsia="仿宋_GB2312"/>
                <w:sz w:val="24"/>
              </w:rPr>
            </w:pPr>
          </w:p>
        </w:tc>
        <w:tc>
          <w:tcPr>
            <w:tcW w:w="565" w:type="pct"/>
            <w:shd w:val="clear" w:color="auto" w:fill="auto"/>
          </w:tcPr>
          <w:p w14:paraId="28CE802B">
            <w:pPr>
              <w:spacing w:line="276" w:lineRule="auto"/>
              <w:jc w:val="center"/>
              <w:rPr>
                <w:rFonts w:ascii="仿宋_GB2312" w:hAnsi="仿宋_GB2312" w:eastAsia="仿宋_GB2312"/>
                <w:sz w:val="24"/>
              </w:rPr>
            </w:pPr>
          </w:p>
        </w:tc>
      </w:tr>
      <w:tr w14:paraId="0469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61041642">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838" w:type="pct"/>
            <w:shd w:val="clear" w:color="auto" w:fill="auto"/>
            <w:vAlign w:val="center"/>
          </w:tcPr>
          <w:p w14:paraId="354A6075">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帐篷围布</w:t>
            </w:r>
          </w:p>
        </w:tc>
        <w:tc>
          <w:tcPr>
            <w:tcW w:w="688" w:type="pct"/>
            <w:shd w:val="clear" w:color="auto" w:fill="auto"/>
          </w:tcPr>
          <w:p w14:paraId="462A759C">
            <w:pPr>
              <w:spacing w:line="276" w:lineRule="auto"/>
              <w:jc w:val="center"/>
              <w:rPr>
                <w:rFonts w:ascii="仿宋_GB2312" w:hAnsi="仿宋_GB2312" w:eastAsia="仿宋_GB2312"/>
                <w:sz w:val="24"/>
              </w:rPr>
            </w:pPr>
          </w:p>
        </w:tc>
        <w:tc>
          <w:tcPr>
            <w:tcW w:w="1462" w:type="pct"/>
            <w:shd w:val="clear" w:color="auto" w:fill="auto"/>
          </w:tcPr>
          <w:p w14:paraId="0C4B4297">
            <w:pPr>
              <w:spacing w:line="276" w:lineRule="auto"/>
              <w:jc w:val="center"/>
              <w:rPr>
                <w:rFonts w:ascii="仿宋_GB2312" w:hAnsi="仿宋_GB2312" w:eastAsia="仿宋_GB2312"/>
                <w:sz w:val="24"/>
              </w:rPr>
            </w:pPr>
          </w:p>
        </w:tc>
        <w:tc>
          <w:tcPr>
            <w:tcW w:w="568" w:type="pct"/>
            <w:shd w:val="clear" w:color="auto" w:fill="auto"/>
          </w:tcPr>
          <w:p w14:paraId="1E6BB8D4">
            <w:pPr>
              <w:spacing w:line="276" w:lineRule="auto"/>
              <w:jc w:val="center"/>
              <w:rPr>
                <w:rFonts w:ascii="仿宋_GB2312" w:hAnsi="仿宋_GB2312" w:eastAsia="仿宋_GB2312"/>
                <w:sz w:val="24"/>
              </w:rPr>
            </w:pPr>
          </w:p>
        </w:tc>
        <w:tc>
          <w:tcPr>
            <w:tcW w:w="463" w:type="pct"/>
            <w:shd w:val="clear" w:color="auto" w:fill="auto"/>
          </w:tcPr>
          <w:p w14:paraId="655560B3">
            <w:pPr>
              <w:spacing w:line="276" w:lineRule="auto"/>
              <w:jc w:val="center"/>
              <w:rPr>
                <w:rFonts w:ascii="仿宋_GB2312" w:hAnsi="仿宋_GB2312" w:eastAsia="仿宋_GB2312"/>
                <w:sz w:val="24"/>
              </w:rPr>
            </w:pPr>
          </w:p>
        </w:tc>
        <w:tc>
          <w:tcPr>
            <w:tcW w:w="565" w:type="pct"/>
            <w:shd w:val="clear" w:color="auto" w:fill="auto"/>
          </w:tcPr>
          <w:p w14:paraId="07A3594B">
            <w:pPr>
              <w:spacing w:line="276" w:lineRule="auto"/>
              <w:jc w:val="center"/>
              <w:rPr>
                <w:rFonts w:ascii="仿宋_GB2312" w:hAnsi="仿宋_GB2312" w:eastAsia="仿宋_GB2312"/>
                <w:sz w:val="24"/>
              </w:rPr>
            </w:pP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4BF1E72D">
            <w:pPr>
              <w:widowControl/>
              <w:numPr>
                <w:ilvl w:val="255"/>
                <w:numId w:val="0"/>
              </w:numPr>
              <w:spacing w:line="240" w:lineRule="auto"/>
              <w:ind w:left="0" w:leftChars="0" w:firstLine="0" w:firstLineChars="0"/>
              <w:jc w:val="center"/>
              <w:textAlignment w:val="center"/>
              <w:rPr>
                <w:rFonts w:hint="eastAsia" w:ascii="仿宋_GB2312" w:hAnsi="仿宋_GB2312" w:eastAsia="仿宋_GB2312" w:cs="Times New Roman"/>
                <w:kern w:val="2"/>
                <w:sz w:val="24"/>
                <w:szCs w:val="24"/>
                <w:lang w:val="en-US" w:eastAsia="zh-CN" w:bidi="ar-SA"/>
              </w:rPr>
            </w:pPr>
            <w:r>
              <w:rPr>
                <w:rFonts w:hint="eastAsia" w:ascii="仿宋" w:hAnsi="仿宋" w:eastAsia="仿宋" w:cs="仿宋"/>
                <w:color w:val="000000" w:themeColor="text1"/>
                <w:sz w:val="24"/>
                <w:szCs w:val="24"/>
                <w:lang w:val="en-US" w:eastAsia="zh-CN"/>
                <w14:textFill>
                  <w14:solidFill>
                    <w14:schemeClr w14:val="tx1"/>
                  </w14:solidFill>
                </w14:textFill>
              </w:rPr>
              <w:t>11</w:t>
            </w:r>
          </w:p>
        </w:tc>
        <w:tc>
          <w:tcPr>
            <w:tcW w:w="838" w:type="pct"/>
            <w:shd w:val="clear" w:color="auto" w:fill="auto"/>
            <w:vAlign w:val="center"/>
          </w:tcPr>
          <w:p w14:paraId="1A3E7900">
            <w:pPr>
              <w:spacing w:line="240"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themeColor="text1"/>
                <w:sz w:val="24"/>
                <w:szCs w:val="24"/>
                <w14:textFill>
                  <w14:solidFill>
                    <w14:schemeClr w14:val="tx1"/>
                  </w14:solidFill>
                </w14:textFill>
              </w:rPr>
              <w:t>帐篷布固定弹力带</w:t>
            </w:r>
          </w:p>
        </w:tc>
        <w:tc>
          <w:tcPr>
            <w:tcW w:w="688" w:type="pct"/>
            <w:shd w:val="clear" w:color="auto" w:fill="auto"/>
          </w:tcPr>
          <w:p w14:paraId="69B4ABB2">
            <w:pPr>
              <w:spacing w:line="276" w:lineRule="auto"/>
              <w:jc w:val="center"/>
              <w:rPr>
                <w:rFonts w:ascii="仿宋_GB2312" w:hAnsi="仿宋_GB2312" w:eastAsia="仿宋_GB2312"/>
                <w:sz w:val="24"/>
              </w:rPr>
            </w:pPr>
          </w:p>
        </w:tc>
        <w:tc>
          <w:tcPr>
            <w:tcW w:w="1462" w:type="pct"/>
            <w:shd w:val="clear" w:color="auto" w:fill="auto"/>
          </w:tcPr>
          <w:p w14:paraId="532BBC6E">
            <w:pPr>
              <w:spacing w:line="276" w:lineRule="auto"/>
              <w:jc w:val="center"/>
              <w:rPr>
                <w:rFonts w:ascii="仿宋_GB2312" w:hAnsi="仿宋_GB2312" w:eastAsia="仿宋_GB2312"/>
                <w:sz w:val="24"/>
              </w:rPr>
            </w:pPr>
          </w:p>
        </w:tc>
        <w:tc>
          <w:tcPr>
            <w:tcW w:w="568" w:type="pct"/>
            <w:shd w:val="clear" w:color="auto" w:fill="auto"/>
          </w:tcPr>
          <w:p w14:paraId="2CB34EB4">
            <w:pPr>
              <w:spacing w:line="276" w:lineRule="auto"/>
              <w:jc w:val="center"/>
              <w:rPr>
                <w:rFonts w:ascii="仿宋_GB2312" w:hAnsi="仿宋_GB2312" w:eastAsia="仿宋_GB2312"/>
                <w:sz w:val="24"/>
              </w:rPr>
            </w:pPr>
          </w:p>
        </w:tc>
        <w:tc>
          <w:tcPr>
            <w:tcW w:w="463" w:type="pct"/>
            <w:shd w:val="clear" w:color="auto" w:fill="auto"/>
          </w:tcPr>
          <w:p w14:paraId="75DF1D2A">
            <w:pPr>
              <w:spacing w:line="276" w:lineRule="auto"/>
              <w:jc w:val="center"/>
              <w:rPr>
                <w:rFonts w:ascii="仿宋_GB2312" w:hAnsi="仿宋_GB2312" w:eastAsia="仿宋_GB2312"/>
                <w:sz w:val="24"/>
              </w:rPr>
            </w:pPr>
          </w:p>
        </w:tc>
        <w:tc>
          <w:tcPr>
            <w:tcW w:w="565" w:type="pct"/>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13" w:type="pct"/>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4586" w:type="pct"/>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413" w:type="pct"/>
            <w:vMerge w:val="continue"/>
            <w:vAlign w:val="center"/>
          </w:tcPr>
          <w:p w14:paraId="23830B4C">
            <w:pPr>
              <w:widowControl/>
              <w:jc w:val="center"/>
              <w:textAlignment w:val="center"/>
              <w:rPr>
                <w:rFonts w:ascii="仿宋_GB2312" w:hAnsi="仿宋_GB2312" w:eastAsia="仿宋_GB2312"/>
                <w:sz w:val="24"/>
              </w:rPr>
            </w:pPr>
          </w:p>
        </w:tc>
        <w:tc>
          <w:tcPr>
            <w:tcW w:w="4586" w:type="pct"/>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9227CE1">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14"/>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4752DDDE">
      <w:pPr>
        <w:spacing w:line="276" w:lineRule="auto"/>
        <w:jc w:val="center"/>
        <w:rPr>
          <w:rFonts w:hint="eastAsia" w:ascii="仿宋" w:hAnsi="仿宋" w:eastAsia="仿宋" w:cs="仿宋"/>
          <w:b/>
          <w:sz w:val="36"/>
          <w:szCs w:val="36"/>
        </w:rPr>
      </w:pPr>
    </w:p>
    <w:p w14:paraId="751D0210">
      <w:pPr>
        <w:spacing w:line="276" w:lineRule="auto"/>
        <w:jc w:val="center"/>
        <w:rPr>
          <w:rFonts w:hint="eastAsia" w:ascii="仿宋" w:hAnsi="仿宋" w:eastAsia="仿宋" w:cs="仿宋"/>
          <w:b/>
          <w:sz w:val="36"/>
          <w:szCs w:val="36"/>
        </w:rPr>
      </w:pPr>
    </w:p>
    <w:p w14:paraId="5DB5F9BB">
      <w:pPr>
        <w:spacing w:line="276" w:lineRule="auto"/>
        <w:jc w:val="center"/>
        <w:rPr>
          <w:rFonts w:hint="eastAsia" w:ascii="仿宋" w:hAnsi="仿宋" w:eastAsia="仿宋" w:cs="仿宋"/>
          <w:b/>
          <w:sz w:val="36"/>
          <w:szCs w:val="36"/>
        </w:rPr>
      </w:pPr>
    </w:p>
    <w:p w14:paraId="25C0CDAB">
      <w:pPr>
        <w:spacing w:line="276" w:lineRule="auto"/>
        <w:jc w:val="center"/>
        <w:rPr>
          <w:rFonts w:hint="eastAsia" w:ascii="仿宋" w:hAnsi="仿宋" w:eastAsia="仿宋" w:cs="仿宋"/>
          <w:b/>
          <w:sz w:val="36"/>
          <w:szCs w:val="36"/>
        </w:rPr>
      </w:pPr>
    </w:p>
    <w:p w14:paraId="5C46805E">
      <w:pPr>
        <w:spacing w:line="276" w:lineRule="auto"/>
        <w:jc w:val="center"/>
        <w:rPr>
          <w:rFonts w:hint="eastAsia" w:ascii="仿宋" w:hAnsi="仿宋" w:eastAsia="仿宋" w:cs="仿宋"/>
          <w:b/>
          <w:sz w:val="36"/>
          <w:szCs w:val="36"/>
        </w:rPr>
      </w:pPr>
    </w:p>
    <w:p w14:paraId="19415FFA">
      <w:pPr>
        <w:spacing w:line="276" w:lineRule="auto"/>
        <w:jc w:val="center"/>
        <w:rPr>
          <w:rFonts w:hint="eastAsia" w:ascii="仿宋" w:hAnsi="仿宋" w:eastAsia="仿宋" w:cs="仿宋"/>
          <w:b/>
          <w:sz w:val="36"/>
          <w:szCs w:val="36"/>
        </w:rPr>
      </w:pPr>
    </w:p>
    <w:p w14:paraId="442E74F8">
      <w:pPr>
        <w:spacing w:line="276" w:lineRule="auto"/>
        <w:jc w:val="center"/>
        <w:rPr>
          <w:rFonts w:hint="eastAsia" w:ascii="仿宋" w:hAnsi="仿宋" w:eastAsia="仿宋" w:cs="仿宋"/>
          <w:b/>
          <w:sz w:val="36"/>
          <w:szCs w:val="36"/>
        </w:rPr>
      </w:pPr>
    </w:p>
    <w:p w14:paraId="7EF0851E">
      <w:pPr>
        <w:spacing w:line="276" w:lineRule="auto"/>
        <w:jc w:val="center"/>
        <w:rPr>
          <w:rFonts w:hint="eastAsia" w:ascii="仿宋" w:hAnsi="仿宋" w:eastAsia="仿宋" w:cs="仿宋"/>
          <w:b/>
          <w:sz w:val="36"/>
          <w:szCs w:val="36"/>
        </w:rPr>
      </w:pPr>
    </w:p>
    <w:p w14:paraId="1B4D46EB">
      <w:pPr>
        <w:spacing w:line="276" w:lineRule="auto"/>
        <w:jc w:val="center"/>
        <w:rPr>
          <w:rFonts w:hint="eastAsia" w:ascii="仿宋" w:hAnsi="仿宋" w:eastAsia="仿宋" w:cs="仿宋"/>
          <w:b/>
          <w:sz w:val="36"/>
          <w:szCs w:val="36"/>
        </w:rPr>
      </w:pPr>
    </w:p>
    <w:p w14:paraId="5E38714E">
      <w:pPr>
        <w:spacing w:line="276" w:lineRule="auto"/>
        <w:jc w:val="center"/>
        <w:rPr>
          <w:rFonts w:hint="eastAsia" w:ascii="仿宋" w:hAnsi="仿宋" w:eastAsia="仿宋" w:cs="仿宋"/>
          <w:b/>
          <w:sz w:val="36"/>
          <w:szCs w:val="36"/>
        </w:rPr>
      </w:pPr>
    </w:p>
    <w:p w14:paraId="1E1AE759">
      <w:pPr>
        <w:spacing w:line="276" w:lineRule="auto"/>
        <w:jc w:val="center"/>
        <w:rPr>
          <w:rFonts w:hint="eastAsia" w:ascii="仿宋" w:hAnsi="仿宋" w:eastAsia="仿宋" w:cs="仿宋"/>
          <w:b/>
          <w:sz w:val="36"/>
          <w:szCs w:val="36"/>
        </w:rPr>
      </w:pPr>
    </w:p>
    <w:p w14:paraId="410A9A65">
      <w:pPr>
        <w:spacing w:line="276" w:lineRule="auto"/>
        <w:jc w:val="center"/>
        <w:rPr>
          <w:rFonts w:hint="eastAsia" w:ascii="仿宋" w:hAnsi="仿宋" w:eastAsia="仿宋" w:cs="仿宋"/>
          <w:b/>
          <w:sz w:val="36"/>
          <w:szCs w:val="36"/>
        </w:rPr>
      </w:pPr>
    </w:p>
    <w:p w14:paraId="3274BBA6">
      <w:pPr>
        <w:spacing w:line="276" w:lineRule="auto"/>
        <w:jc w:val="center"/>
        <w:rPr>
          <w:rFonts w:hint="eastAsia" w:ascii="仿宋" w:hAnsi="仿宋" w:eastAsia="仿宋" w:cs="仿宋"/>
          <w:b/>
          <w:sz w:val="36"/>
          <w:szCs w:val="36"/>
        </w:rPr>
      </w:pPr>
    </w:p>
    <w:p w14:paraId="2DFB88FE">
      <w:pPr>
        <w:spacing w:line="276" w:lineRule="auto"/>
        <w:jc w:val="center"/>
        <w:rPr>
          <w:rFonts w:hint="eastAsia" w:ascii="仿宋" w:hAnsi="仿宋" w:eastAsia="仿宋" w:cs="仿宋"/>
          <w:b/>
          <w:sz w:val="36"/>
          <w:szCs w:val="36"/>
        </w:rPr>
      </w:pPr>
    </w:p>
    <w:p w14:paraId="1BF8F2B5">
      <w:pPr>
        <w:spacing w:line="276" w:lineRule="auto"/>
        <w:jc w:val="center"/>
        <w:rPr>
          <w:rFonts w:hint="eastAsia" w:ascii="仿宋" w:hAnsi="仿宋" w:eastAsia="仿宋" w:cs="仿宋"/>
          <w:b/>
          <w:sz w:val="36"/>
          <w:szCs w:val="36"/>
        </w:rPr>
      </w:pP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76C6D3FD">
      <w:pPr>
        <w:spacing w:line="360" w:lineRule="auto"/>
        <w:rPr>
          <w:rFonts w:ascii="仿宋_GB2312" w:hAnsi="仿宋_GB2312" w:eastAsia="仿宋_GB2312"/>
          <w:b w:val="0"/>
          <w:bCs w:val="0"/>
          <w:sz w:val="24"/>
          <w:szCs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1B916F63">
      <w:pPr>
        <w:spacing w:line="360" w:lineRule="auto"/>
        <w:rPr>
          <w:rFonts w:hint="default" w:ascii="仿宋" w:hAnsi="仿宋" w:eastAsia="仿宋_GB2312" w:cs="仿宋"/>
          <w:sz w:val="24"/>
          <w:u w:val="single"/>
          <w:lang w:val="en-US" w:eastAsia="zh-CN"/>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p>
    <w:p w14:paraId="1B8B96B1">
      <w:pPr>
        <w:pStyle w:val="25"/>
        <w:rPr>
          <w:rFonts w:hint="eastAsia" w:ascii="仿宋" w:hAnsi="仿宋" w:eastAsia="仿宋" w:cs="仿宋"/>
        </w:rPr>
      </w:pPr>
    </w:p>
    <w:tbl>
      <w:tblPr>
        <w:tblStyle w:val="17"/>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481"/>
        <w:gridCol w:w="1257"/>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481"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257"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481" w:type="dxa"/>
            <w:noWrap w:val="0"/>
            <w:vAlign w:val="center"/>
          </w:tcPr>
          <w:p w14:paraId="5C832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1"/>
                <w:szCs w:val="21"/>
              </w:rPr>
            </w:pPr>
            <w:r>
              <w:rPr>
                <w:rFonts w:hint="eastAsia" w:ascii="仿宋" w:hAnsi="仿宋" w:eastAsia="仿宋" w:cs="仿宋"/>
                <w:color w:val="1F2329"/>
                <w:sz w:val="21"/>
                <w:szCs w:val="21"/>
              </w:rPr>
              <w:t>★安全合规要求</w:t>
            </w:r>
          </w:p>
          <w:p w14:paraId="6BC4048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1"/>
                <w:szCs w:val="21"/>
              </w:rPr>
            </w:pPr>
            <w:r>
              <w:rPr>
                <w:rFonts w:hint="eastAsia" w:ascii="仿宋" w:hAnsi="仿宋" w:eastAsia="仿宋" w:cs="仿宋"/>
                <w:color w:val="1F2329"/>
                <w:sz w:val="21"/>
                <w:szCs w:val="21"/>
                <w:lang w:val="en-US" w:eastAsia="zh-CN"/>
              </w:rPr>
              <w:t>1、产品</w:t>
            </w:r>
            <w:r>
              <w:rPr>
                <w:rFonts w:hint="eastAsia" w:ascii="仿宋" w:hAnsi="仿宋" w:eastAsia="仿宋" w:cs="仿宋"/>
                <w:color w:val="1F2329"/>
                <w:sz w:val="21"/>
                <w:szCs w:val="21"/>
              </w:rPr>
              <w:t>无刺鼻刺激性异味</w:t>
            </w:r>
            <w:r>
              <w:rPr>
                <w:rFonts w:hint="eastAsia" w:ascii="仿宋" w:hAnsi="仿宋" w:eastAsia="仿宋" w:cs="仿宋"/>
                <w:color w:val="1F2329"/>
                <w:sz w:val="21"/>
                <w:szCs w:val="21"/>
                <w:lang w:eastAsia="zh-CN"/>
              </w:rPr>
              <w:t>，</w:t>
            </w:r>
            <w:r>
              <w:rPr>
                <w:rFonts w:hint="eastAsia" w:ascii="仿宋" w:hAnsi="仿宋" w:eastAsia="仿宋" w:cs="仿宋"/>
                <w:color w:val="1F2329"/>
                <w:sz w:val="21"/>
                <w:szCs w:val="21"/>
              </w:rPr>
              <w:t>面料、管材不得检出有害重金属、违禁阻燃助剂</w:t>
            </w:r>
            <w:r>
              <w:rPr>
                <w:rFonts w:hint="eastAsia" w:ascii="仿宋" w:hAnsi="仿宋" w:eastAsia="仿宋" w:cs="仿宋"/>
                <w:color w:val="1F2329"/>
                <w:sz w:val="21"/>
                <w:szCs w:val="21"/>
                <w:lang w:eastAsia="zh-CN"/>
              </w:rPr>
              <w:t>，</w:t>
            </w:r>
            <w:r>
              <w:rPr>
                <w:rFonts w:hint="eastAsia" w:ascii="仿宋" w:hAnsi="仿宋" w:eastAsia="仿宋" w:cs="仿宋"/>
                <w:color w:val="1F2329"/>
                <w:sz w:val="21"/>
                <w:szCs w:val="21"/>
              </w:rPr>
              <w:t>户外帐篷优先具备阻燃、抗紫外线功能，适配校园露天长期摆放场景</w:t>
            </w:r>
            <w:r>
              <w:rPr>
                <w:rFonts w:hint="eastAsia" w:ascii="仿宋" w:hAnsi="仿宋" w:eastAsia="仿宋" w:cs="仿宋"/>
                <w:color w:val="1F2329"/>
                <w:sz w:val="21"/>
                <w:szCs w:val="21"/>
                <w:lang w:eastAsia="zh-CN"/>
              </w:rPr>
              <w:t>；</w:t>
            </w:r>
          </w:p>
          <w:p w14:paraId="1AF9CE3E">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lang w:eastAsia="zh-CN"/>
              </w:rPr>
            </w:pPr>
            <w:r>
              <w:rPr>
                <w:rFonts w:hint="eastAsia" w:ascii="仿宋" w:hAnsi="仿宋" w:eastAsia="仿宋" w:cs="仿宋"/>
                <w:color w:val="1F2329"/>
                <w:sz w:val="21"/>
                <w:szCs w:val="21"/>
                <w:lang w:val="en-US" w:eastAsia="zh-CN"/>
              </w:rPr>
              <w:t>2、</w:t>
            </w:r>
            <w:r>
              <w:rPr>
                <w:rFonts w:hint="eastAsia" w:ascii="仿宋" w:hAnsi="仿宋" w:eastAsia="仿宋" w:cs="仿宋"/>
                <w:color w:val="1F2329"/>
                <w:sz w:val="21"/>
                <w:szCs w:val="21"/>
              </w:rPr>
              <w:t>产品质量符合国家现行轻工产品、户外家具相关通用标准，</w:t>
            </w:r>
            <w:r>
              <w:rPr>
                <w:rStyle w:val="23"/>
                <w:rFonts w:hint="eastAsia" w:ascii="仿宋" w:hAnsi="仿宋" w:eastAsia="仿宋" w:cs="仿宋"/>
                <w:sz w:val="21"/>
                <w:szCs w:val="21"/>
              </w:rPr>
              <w:t>（</w:t>
            </w:r>
            <w:r>
              <w:rPr>
                <w:rStyle w:val="23"/>
                <w:rFonts w:hint="eastAsia" w:ascii="仿宋" w:hAnsi="仿宋" w:eastAsia="仿宋" w:cs="仿宋"/>
                <w:b/>
                <w:bCs/>
                <w:sz w:val="21"/>
                <w:szCs w:val="21"/>
              </w:rPr>
              <w:t>提供产品说明书或者公开宣传彩页作为证明材料</w:t>
            </w:r>
            <w:r>
              <w:rPr>
                <w:rStyle w:val="23"/>
                <w:rFonts w:hint="eastAsia" w:ascii="仿宋" w:hAnsi="仿宋" w:eastAsia="仿宋" w:cs="仿宋"/>
                <w:sz w:val="21"/>
                <w:szCs w:val="21"/>
              </w:rPr>
              <w:t>）</w:t>
            </w:r>
            <w:r>
              <w:rPr>
                <w:rStyle w:val="23"/>
                <w:rFonts w:hint="eastAsia" w:ascii="仿宋" w:hAnsi="仿宋" w:eastAsia="仿宋" w:cs="仿宋"/>
                <w:sz w:val="21"/>
                <w:szCs w:val="21"/>
                <w:lang w:eastAsia="zh-CN"/>
              </w:rPr>
              <w:t>。</w:t>
            </w:r>
          </w:p>
        </w:tc>
        <w:tc>
          <w:tcPr>
            <w:tcW w:w="1257"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481" w:type="dxa"/>
            <w:noWrap w:val="0"/>
            <w:vAlign w:val="center"/>
          </w:tcPr>
          <w:p w14:paraId="1A073056">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sz w:val="21"/>
                <w:szCs w:val="21"/>
              </w:rPr>
            </w:pPr>
            <w:r>
              <w:rPr>
                <w:rFonts w:hint="eastAsia" w:ascii="仿宋" w:hAnsi="仿宋" w:eastAsia="仿宋" w:cs="仿宋"/>
                <w:b/>
                <w:bCs/>
                <w:sz w:val="21"/>
                <w:szCs w:val="21"/>
              </w:rPr>
              <w:t>★帐篷外观要求</w:t>
            </w:r>
          </w:p>
          <w:p w14:paraId="6A3CA3DC">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rPr>
              <w:t>1、帐篷主体颜色为米白色，篷面印制</w:t>
            </w:r>
            <w:r>
              <w:rPr>
                <w:rFonts w:hint="eastAsia" w:ascii="仿宋" w:hAnsi="仿宋" w:eastAsia="仿宋" w:cs="仿宋"/>
                <w:b/>
                <w:bCs/>
                <w:sz w:val="21"/>
                <w:szCs w:val="21"/>
              </w:rPr>
              <w:t>南大后勤、南大记忆</w:t>
            </w:r>
            <w:r>
              <w:rPr>
                <w:rFonts w:hint="eastAsia" w:ascii="仿宋" w:hAnsi="仿宋" w:eastAsia="仿宋" w:cs="仿宋"/>
                <w:b w:val="0"/>
                <w:bCs w:val="0"/>
                <w:sz w:val="21"/>
                <w:szCs w:val="21"/>
              </w:rPr>
              <w:t>字样；</w:t>
            </w:r>
          </w:p>
          <w:p w14:paraId="1BA095B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highlight w:val="yellow"/>
              </w:rPr>
            </w:pPr>
            <w:r>
              <w:rPr>
                <w:rFonts w:hint="eastAsia" w:ascii="仿宋" w:hAnsi="仿宋" w:eastAsia="仿宋" w:cs="仿宋"/>
                <w:b w:val="0"/>
                <w:bCs w:val="0"/>
                <w:sz w:val="21"/>
                <w:szCs w:val="21"/>
              </w:rPr>
              <w:t>2、款式统一、规格标准化，便于集中规整摆放，保证迎新活动、户外展演现场视觉整齐统一。</w:t>
            </w:r>
          </w:p>
        </w:tc>
        <w:tc>
          <w:tcPr>
            <w:tcW w:w="1257"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481" w:type="dxa"/>
            <w:noWrap w:val="0"/>
            <w:vAlign w:val="center"/>
          </w:tcPr>
          <w:p w14:paraId="6907D917">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sz w:val="21"/>
                <w:szCs w:val="21"/>
              </w:rPr>
            </w:pPr>
            <w:r>
              <w:rPr>
                <w:rFonts w:hint="eastAsia" w:ascii="仿宋" w:hAnsi="仿宋" w:eastAsia="仿宋" w:cs="仿宋"/>
                <w:b/>
                <w:bCs/>
                <w:sz w:val="21"/>
                <w:szCs w:val="21"/>
              </w:rPr>
              <w:t>▲通用性与兼容性</w:t>
            </w:r>
          </w:p>
          <w:p w14:paraId="4AD207DB">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sz w:val="21"/>
                <w:szCs w:val="21"/>
              </w:rPr>
            </w:pPr>
            <w:r>
              <w:rPr>
                <w:rFonts w:hint="eastAsia" w:ascii="仿宋" w:hAnsi="仿宋" w:eastAsia="仿宋" w:cs="仿宋"/>
                <w:sz w:val="21"/>
                <w:szCs w:val="21"/>
              </w:rPr>
              <w:t>帐篷、配套桌椅规格统一，零配件可通用互换</w:t>
            </w:r>
            <w:r>
              <w:rPr>
                <w:rFonts w:hint="eastAsia" w:ascii="仿宋" w:hAnsi="仿宋" w:eastAsia="仿宋" w:cs="仿宋"/>
                <w:sz w:val="21"/>
                <w:szCs w:val="21"/>
                <w:lang w:eastAsia="zh-CN"/>
              </w:rPr>
              <w:t>，</w:t>
            </w:r>
            <w:r>
              <w:rPr>
                <w:rFonts w:hint="eastAsia" w:ascii="仿宋" w:hAnsi="仿宋" w:eastAsia="仿宋" w:cs="仿宋"/>
                <w:sz w:val="21"/>
                <w:szCs w:val="21"/>
              </w:rPr>
              <w:t>同一供货批次产品尺寸公差一致，支持灵活组合搭建、校内跨点位轮换调配。</w:t>
            </w:r>
          </w:p>
        </w:tc>
        <w:tc>
          <w:tcPr>
            <w:tcW w:w="1257"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bl>
    <w:p w14:paraId="4242F426">
      <w:pPr>
        <w:pStyle w:val="14"/>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14"/>
        <w:rPr>
          <w:rFonts w:hint="eastAsia" w:ascii="仿宋" w:hAnsi="仿宋" w:eastAsia="仿宋" w:cs="仿宋"/>
          <w:sz w:val="22"/>
          <w:szCs w:val="22"/>
        </w:rPr>
      </w:pPr>
    </w:p>
    <w:p w14:paraId="3B4D14EB">
      <w:pPr>
        <w:pStyle w:val="14"/>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14"/>
        <w:rPr>
          <w:rFonts w:hint="eastAsia" w:ascii="仿宋" w:hAnsi="仿宋" w:eastAsia="仿宋" w:cs="仿宋"/>
          <w:sz w:val="22"/>
          <w:szCs w:val="22"/>
        </w:rPr>
      </w:pPr>
    </w:p>
    <w:p w14:paraId="4CFB7AA6">
      <w:pPr>
        <w:pStyle w:val="14"/>
        <w:rPr>
          <w:rFonts w:hint="eastAsia" w:ascii="仿宋" w:hAnsi="仿宋" w:eastAsia="仿宋" w:cs="仿宋"/>
          <w:sz w:val="22"/>
          <w:szCs w:val="22"/>
        </w:rPr>
      </w:pPr>
    </w:p>
    <w:p w14:paraId="1A1BB70C">
      <w:pPr>
        <w:pStyle w:val="14"/>
        <w:rPr>
          <w:rFonts w:hint="eastAsia" w:ascii="仿宋" w:hAnsi="仿宋" w:eastAsia="仿宋" w:cs="仿宋"/>
          <w:sz w:val="22"/>
          <w:szCs w:val="22"/>
        </w:rPr>
      </w:pPr>
    </w:p>
    <w:p w14:paraId="680A7EBD">
      <w:pPr>
        <w:pStyle w:val="14"/>
        <w:rPr>
          <w:rFonts w:hint="eastAsia" w:ascii="仿宋" w:hAnsi="仿宋" w:eastAsia="仿宋" w:cs="仿宋"/>
          <w:sz w:val="22"/>
          <w:szCs w:val="22"/>
        </w:rPr>
      </w:pPr>
    </w:p>
    <w:p w14:paraId="245DE2C9">
      <w:pPr>
        <w:pStyle w:val="14"/>
        <w:rPr>
          <w:rFonts w:hint="eastAsia" w:ascii="仿宋" w:hAnsi="仿宋" w:eastAsia="仿宋" w:cs="仿宋"/>
          <w:sz w:val="22"/>
          <w:szCs w:val="22"/>
        </w:rPr>
      </w:pPr>
    </w:p>
    <w:p w14:paraId="4005D043">
      <w:pPr>
        <w:pStyle w:val="14"/>
        <w:rPr>
          <w:rFonts w:hint="eastAsia" w:ascii="仿宋" w:hAnsi="仿宋" w:eastAsia="仿宋" w:cs="仿宋"/>
          <w:sz w:val="22"/>
          <w:szCs w:val="22"/>
        </w:rPr>
      </w:pPr>
    </w:p>
    <w:p w14:paraId="14DBD84C">
      <w:pPr>
        <w:pStyle w:val="14"/>
        <w:rPr>
          <w:rFonts w:hint="eastAsia" w:ascii="仿宋" w:hAnsi="仿宋" w:eastAsia="仿宋" w:cs="仿宋"/>
          <w:sz w:val="22"/>
          <w:szCs w:val="22"/>
        </w:rPr>
      </w:pPr>
    </w:p>
    <w:p w14:paraId="02927E99">
      <w:pPr>
        <w:pStyle w:val="14"/>
        <w:rPr>
          <w:rFonts w:hint="eastAsia" w:ascii="仿宋" w:hAnsi="仿宋" w:eastAsia="仿宋" w:cs="仿宋"/>
          <w:sz w:val="22"/>
          <w:szCs w:val="22"/>
        </w:rPr>
      </w:pPr>
    </w:p>
    <w:p w14:paraId="74C70255">
      <w:pPr>
        <w:pStyle w:val="14"/>
        <w:rPr>
          <w:rFonts w:hint="eastAsia" w:ascii="仿宋" w:hAnsi="仿宋" w:eastAsia="仿宋" w:cs="仿宋"/>
          <w:sz w:val="22"/>
          <w:szCs w:val="22"/>
        </w:rPr>
      </w:pPr>
    </w:p>
    <w:p w14:paraId="5F01D1D5">
      <w:pPr>
        <w:pStyle w:val="14"/>
        <w:rPr>
          <w:rFonts w:hint="eastAsia" w:ascii="仿宋" w:hAnsi="仿宋" w:eastAsia="仿宋" w:cs="仿宋"/>
          <w:sz w:val="22"/>
          <w:szCs w:val="22"/>
        </w:rPr>
      </w:pPr>
    </w:p>
    <w:p w14:paraId="509799F0">
      <w:pPr>
        <w:pStyle w:val="14"/>
        <w:rPr>
          <w:rFonts w:hint="eastAsia" w:ascii="仿宋" w:hAnsi="仿宋" w:eastAsia="仿宋" w:cs="仿宋"/>
          <w:sz w:val="22"/>
          <w:szCs w:val="22"/>
        </w:rPr>
      </w:pPr>
    </w:p>
    <w:p w14:paraId="14FE6706">
      <w:pPr>
        <w:pStyle w:val="14"/>
        <w:rPr>
          <w:rFonts w:hint="eastAsia" w:ascii="仿宋" w:hAnsi="仿宋" w:eastAsia="仿宋" w:cs="仿宋"/>
          <w:sz w:val="22"/>
          <w:szCs w:val="22"/>
        </w:rPr>
      </w:pPr>
    </w:p>
    <w:p w14:paraId="2EAEFCF1">
      <w:pPr>
        <w:pStyle w:val="14"/>
        <w:rPr>
          <w:rFonts w:hint="eastAsia" w:ascii="仿宋" w:hAnsi="仿宋" w:eastAsia="仿宋" w:cs="仿宋"/>
          <w:sz w:val="22"/>
          <w:szCs w:val="22"/>
        </w:rPr>
      </w:pPr>
    </w:p>
    <w:p w14:paraId="37A4A4DA">
      <w:pPr>
        <w:pStyle w:val="14"/>
        <w:rPr>
          <w:rFonts w:hint="eastAsia" w:ascii="仿宋" w:hAnsi="仿宋" w:eastAsia="仿宋" w:cs="仿宋"/>
          <w:sz w:val="22"/>
          <w:szCs w:val="22"/>
        </w:rPr>
      </w:pPr>
    </w:p>
    <w:p w14:paraId="646A27DB">
      <w:pPr>
        <w:pStyle w:val="14"/>
        <w:rPr>
          <w:rFonts w:hint="eastAsia" w:ascii="仿宋" w:hAnsi="仿宋" w:eastAsia="仿宋" w:cs="仿宋"/>
          <w:sz w:val="22"/>
          <w:szCs w:val="22"/>
        </w:rPr>
      </w:pPr>
    </w:p>
    <w:p w14:paraId="25CC2343">
      <w:pPr>
        <w:pStyle w:val="14"/>
        <w:rPr>
          <w:rFonts w:hint="eastAsia" w:ascii="仿宋" w:hAnsi="仿宋" w:eastAsia="仿宋" w:cs="仿宋"/>
          <w:sz w:val="22"/>
          <w:szCs w:val="22"/>
        </w:rPr>
      </w:pPr>
    </w:p>
    <w:p w14:paraId="008FAF4A">
      <w:pPr>
        <w:pStyle w:val="14"/>
        <w:rPr>
          <w:rFonts w:hint="eastAsia" w:ascii="仿宋" w:hAnsi="仿宋" w:eastAsia="仿宋" w:cs="仿宋"/>
          <w:sz w:val="22"/>
          <w:szCs w:val="22"/>
        </w:rPr>
      </w:pPr>
    </w:p>
    <w:p w14:paraId="283ECC0A">
      <w:pPr>
        <w:pStyle w:val="14"/>
        <w:rPr>
          <w:rFonts w:hint="eastAsia" w:ascii="仿宋" w:hAnsi="仿宋" w:eastAsia="仿宋" w:cs="仿宋"/>
          <w:sz w:val="22"/>
          <w:szCs w:val="22"/>
        </w:rPr>
      </w:pPr>
    </w:p>
    <w:p w14:paraId="6C3A9070">
      <w:pPr>
        <w:pStyle w:val="14"/>
        <w:rPr>
          <w:rFonts w:hint="eastAsia" w:ascii="仿宋" w:hAnsi="仿宋" w:eastAsia="仿宋" w:cs="仿宋"/>
          <w:sz w:val="22"/>
          <w:szCs w:val="22"/>
        </w:rPr>
      </w:pPr>
    </w:p>
    <w:p w14:paraId="7A10C9D8">
      <w:pPr>
        <w:pStyle w:val="14"/>
        <w:rPr>
          <w:rFonts w:hint="eastAsia" w:ascii="仿宋" w:hAnsi="仿宋" w:eastAsia="仿宋" w:cs="仿宋"/>
          <w:sz w:val="22"/>
          <w:szCs w:val="22"/>
        </w:rPr>
      </w:pPr>
    </w:p>
    <w:p w14:paraId="3212347A">
      <w:pPr>
        <w:pStyle w:val="14"/>
        <w:rPr>
          <w:rFonts w:hint="eastAsia" w:ascii="仿宋" w:hAnsi="仿宋" w:eastAsia="仿宋" w:cs="仿宋"/>
          <w:sz w:val="22"/>
          <w:szCs w:val="22"/>
        </w:rPr>
      </w:pPr>
    </w:p>
    <w:p w14:paraId="1962A22C">
      <w:pPr>
        <w:pStyle w:val="14"/>
        <w:rPr>
          <w:rFonts w:hint="eastAsia" w:ascii="仿宋" w:hAnsi="仿宋" w:eastAsia="仿宋" w:cs="仿宋"/>
          <w:sz w:val="22"/>
          <w:szCs w:val="22"/>
        </w:rPr>
      </w:pPr>
    </w:p>
    <w:p w14:paraId="4B123DED">
      <w:pPr>
        <w:pStyle w:val="14"/>
        <w:rPr>
          <w:rFonts w:hint="eastAsia" w:ascii="仿宋" w:hAnsi="仿宋" w:eastAsia="仿宋" w:cs="仿宋"/>
          <w:sz w:val="22"/>
          <w:szCs w:val="22"/>
        </w:rPr>
      </w:pPr>
    </w:p>
    <w:p w14:paraId="6B02C4D6">
      <w:pPr>
        <w:pStyle w:val="14"/>
        <w:rPr>
          <w:rFonts w:hint="eastAsia" w:ascii="仿宋" w:hAnsi="仿宋" w:eastAsia="仿宋" w:cs="仿宋"/>
          <w:sz w:val="22"/>
          <w:szCs w:val="22"/>
        </w:rPr>
      </w:pPr>
    </w:p>
    <w:p w14:paraId="4DEAC4B8">
      <w:pPr>
        <w:pStyle w:val="14"/>
        <w:rPr>
          <w:rFonts w:hint="eastAsia" w:ascii="仿宋" w:hAnsi="仿宋" w:eastAsia="仿宋" w:cs="仿宋"/>
          <w:sz w:val="22"/>
          <w:szCs w:val="22"/>
        </w:rPr>
      </w:pPr>
    </w:p>
    <w:p w14:paraId="7B5A8D37">
      <w:pPr>
        <w:pStyle w:val="14"/>
        <w:rPr>
          <w:rFonts w:hint="eastAsia" w:ascii="仿宋" w:hAnsi="仿宋" w:eastAsia="仿宋" w:cs="仿宋"/>
          <w:sz w:val="22"/>
          <w:szCs w:val="22"/>
        </w:rPr>
      </w:pPr>
    </w:p>
    <w:p w14:paraId="37136F43">
      <w:pPr>
        <w:pStyle w:val="14"/>
        <w:rPr>
          <w:rFonts w:hint="eastAsia" w:ascii="仿宋" w:hAnsi="仿宋" w:eastAsia="仿宋" w:cs="仿宋"/>
          <w:sz w:val="22"/>
          <w:szCs w:val="22"/>
        </w:rPr>
      </w:pPr>
    </w:p>
    <w:p w14:paraId="1A5346E0">
      <w:pPr>
        <w:pStyle w:val="14"/>
        <w:rPr>
          <w:rFonts w:hint="eastAsia" w:ascii="仿宋" w:hAnsi="仿宋" w:eastAsia="仿宋" w:cs="仿宋"/>
          <w:sz w:val="22"/>
          <w:szCs w:val="22"/>
        </w:rPr>
      </w:pPr>
    </w:p>
    <w:p w14:paraId="3512ECE9">
      <w:pPr>
        <w:pStyle w:val="14"/>
        <w:rPr>
          <w:rFonts w:hint="eastAsia" w:ascii="仿宋" w:hAnsi="仿宋" w:eastAsia="仿宋" w:cs="仿宋"/>
          <w:sz w:val="22"/>
          <w:szCs w:val="22"/>
        </w:rPr>
      </w:pPr>
    </w:p>
    <w:p w14:paraId="4D6DA90F">
      <w:pPr>
        <w:pStyle w:val="14"/>
        <w:rPr>
          <w:rFonts w:hint="eastAsia" w:ascii="仿宋" w:hAnsi="仿宋" w:eastAsia="仿宋" w:cs="仿宋"/>
          <w:sz w:val="22"/>
          <w:szCs w:val="22"/>
        </w:rPr>
      </w:pPr>
    </w:p>
    <w:p w14:paraId="1CE259DB">
      <w:pPr>
        <w:pStyle w:val="14"/>
        <w:rPr>
          <w:rFonts w:hint="eastAsia" w:ascii="仿宋" w:hAnsi="仿宋" w:eastAsia="仿宋" w:cs="仿宋"/>
          <w:sz w:val="22"/>
          <w:szCs w:val="22"/>
        </w:rPr>
      </w:pPr>
    </w:p>
    <w:p w14:paraId="6DFF26A6">
      <w:pPr>
        <w:pStyle w:val="14"/>
        <w:rPr>
          <w:rFonts w:hint="eastAsia" w:ascii="仿宋" w:hAnsi="仿宋" w:eastAsia="仿宋" w:cs="仿宋"/>
          <w:sz w:val="22"/>
          <w:szCs w:val="22"/>
        </w:rPr>
      </w:pPr>
    </w:p>
    <w:p w14:paraId="0EEFEFD5">
      <w:pPr>
        <w:pStyle w:val="14"/>
        <w:rPr>
          <w:rFonts w:hint="eastAsia" w:ascii="仿宋" w:hAnsi="仿宋" w:eastAsia="仿宋" w:cs="仿宋"/>
          <w:sz w:val="22"/>
          <w:szCs w:val="22"/>
        </w:rPr>
      </w:pPr>
    </w:p>
    <w:p w14:paraId="3CBFEDC9">
      <w:pPr>
        <w:pStyle w:val="14"/>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4B261F83">
      <w:pPr>
        <w:snapToGrid w:val="0"/>
        <w:spacing w:line="288" w:lineRule="auto"/>
        <w:ind w:firstLine="0" w:firstLineChars="0"/>
        <w:jc w:val="both"/>
        <w:outlineLvl w:val="1"/>
        <w:rPr>
          <w:rFonts w:hint="eastAsia" w:ascii="仿宋" w:hAnsi="仿宋" w:eastAsia="仿宋" w:cs="仿宋"/>
          <w:b/>
          <w:sz w:val="36"/>
          <w:szCs w:val="36"/>
        </w:rPr>
      </w:pPr>
    </w:p>
    <w:p w14:paraId="7213B031">
      <w:pPr>
        <w:snapToGrid w:val="0"/>
        <w:spacing w:line="288" w:lineRule="auto"/>
        <w:ind w:firstLine="0" w:firstLineChars="0"/>
        <w:jc w:val="both"/>
        <w:outlineLvl w:val="1"/>
        <w:rPr>
          <w:rFonts w:hint="eastAsia" w:ascii="仿宋" w:hAnsi="仿宋" w:eastAsia="仿宋" w:cs="仿宋"/>
          <w:b/>
          <w:sz w:val="36"/>
          <w:szCs w:val="36"/>
        </w:rPr>
      </w:pPr>
    </w:p>
    <w:p w14:paraId="51BB024C">
      <w:pPr>
        <w:pStyle w:val="14"/>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2F1624F0">
      <w:pPr>
        <w:spacing w:line="360" w:lineRule="auto"/>
        <w:rPr>
          <w:rFonts w:hint="eastAsia" w:ascii="仿宋" w:hAnsi="仿宋" w:eastAsia="仿宋" w:cs="仿宋"/>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5E2BFD2F">
      <w:pPr>
        <w:spacing w:line="360" w:lineRule="auto"/>
        <w:rPr>
          <w:rFonts w:hint="default" w:ascii="仿宋" w:hAnsi="仿宋" w:eastAsia="仿宋" w:cs="仿宋"/>
          <w:lang w:val="en-US"/>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p>
    <w:tbl>
      <w:tblPr>
        <w:tblStyle w:val="17"/>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6C9AB30F">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lang w:val="en-US" w:eastAsia="zh-CN"/>
              </w:rPr>
              <w:t>★整体质保期：所有帐篷、配套桌椅及全套配件，自项目整体验收合格签字之日起，免费质保不少于24个月。质保期内实行免费维修、免费更换损坏零部件，全程免收人工费、上门费、配件费。</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▲售后服务响应：提供7×24小时售后电话支持，接到故障报修后，2小时内响应，24小时内到场排查处理，全程免费维修、更换配件，确保不影响校区工作开展。</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 xml:space="preserve">★交货时间：合同签订之日起 </w:t>
            </w:r>
            <w:r>
              <w:rPr>
                <w:rFonts w:hint="eastAsia" w:ascii="仿宋" w:hAnsi="仿宋" w:eastAsia="仿宋" w:cs="仿宋"/>
                <w:bCs/>
                <w:kern w:val="2"/>
                <w:sz w:val="20"/>
                <w:szCs w:val="20"/>
                <w:lang w:val="en-US" w:eastAsia="zh-CN"/>
              </w:rPr>
              <w:t>15</w:t>
            </w:r>
            <w:r>
              <w:rPr>
                <w:rFonts w:hint="eastAsia" w:ascii="仿宋" w:hAnsi="仿宋" w:eastAsia="仿宋" w:cs="仿宋"/>
                <w:bCs/>
                <w:kern w:val="2"/>
                <w:sz w:val="20"/>
                <w:szCs w:val="20"/>
              </w:rPr>
              <w:t>个日历日内，供方完成全部货物送达、现场就位等全部工作。</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w:t>
            </w:r>
            <w:r>
              <w:rPr>
                <w:rFonts w:hint="default" w:ascii="仿宋" w:hAnsi="仿宋" w:eastAsia="仿宋" w:cs="仿宋"/>
                <w:bCs/>
                <w:kern w:val="2"/>
                <w:sz w:val="20"/>
                <w:szCs w:val="20"/>
                <w:lang w:val="en-US" w:eastAsia="zh-CN"/>
              </w:rPr>
              <w:t>交货地</w:t>
            </w:r>
            <w:r>
              <w:rPr>
                <w:rFonts w:hint="default" w:ascii="仿宋" w:hAnsi="仿宋" w:eastAsia="仿宋" w:cs="仿宋"/>
                <w:bCs/>
                <w:color w:val="000000" w:themeColor="text1"/>
                <w:kern w:val="2"/>
                <w:sz w:val="20"/>
                <w:szCs w:val="20"/>
                <w:lang w:val="en-US" w:eastAsia="zh-CN"/>
                <w14:textFill>
                  <w14:solidFill>
                    <w14:schemeClr w14:val="tx1"/>
                  </w14:solidFill>
                </w14:textFill>
              </w:rPr>
              <w:t>点：南京大学</w:t>
            </w:r>
            <w:r>
              <w:rPr>
                <w:rFonts w:hint="eastAsia" w:ascii="仿宋" w:hAnsi="仿宋" w:eastAsia="仿宋" w:cs="仿宋"/>
                <w:bCs/>
                <w:color w:val="000000" w:themeColor="text1"/>
                <w:kern w:val="2"/>
                <w:sz w:val="20"/>
                <w:szCs w:val="20"/>
                <w:lang w:val="en-US" w:eastAsia="zh-CN"/>
                <w14:textFill>
                  <w14:solidFill>
                    <w14:schemeClr w14:val="tx1"/>
                  </w14:solidFill>
                </w14:textFill>
              </w:rPr>
              <w:t>仙林、鼓楼、浦口三</w:t>
            </w:r>
            <w:r>
              <w:rPr>
                <w:rFonts w:hint="default" w:ascii="仿宋" w:hAnsi="仿宋" w:eastAsia="仿宋" w:cs="仿宋"/>
                <w:bCs/>
                <w:color w:val="000000" w:themeColor="text1"/>
                <w:kern w:val="2"/>
                <w:sz w:val="20"/>
                <w:szCs w:val="20"/>
                <w:lang w:val="en-US" w:eastAsia="zh-CN"/>
                <w14:textFill>
                  <w14:solidFill>
                    <w14:schemeClr w14:val="tx1"/>
                  </w14:solidFill>
                </w14:textFill>
              </w:rPr>
              <w:t>校区。</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184311CF">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★付款方式：</w:t>
            </w:r>
          </w:p>
          <w:p w14:paraId="6653EA5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FC03AE5">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69A82980">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★验收内容：</w:t>
            </w:r>
          </w:p>
          <w:p w14:paraId="1EE5305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1538" w:type="dxa"/>
            <w:noWrap w:val="0"/>
            <w:vAlign w:val="center"/>
          </w:tcPr>
          <w:p w14:paraId="7C1D6F80">
            <w:pPr>
              <w:spacing w:line="280" w:lineRule="exact"/>
              <w:jc w:val="center"/>
              <w:rPr>
                <w:rFonts w:hint="eastAsia" w:ascii="仿宋" w:hAnsi="仿宋" w:eastAsia="仿宋" w:cs="仿宋"/>
                <w:sz w:val="20"/>
                <w:szCs w:val="20"/>
              </w:rPr>
            </w:pPr>
          </w:p>
        </w:tc>
        <w:tc>
          <w:tcPr>
            <w:tcW w:w="1205" w:type="dxa"/>
            <w:noWrap w:val="0"/>
            <w:vAlign w:val="center"/>
          </w:tcPr>
          <w:p w14:paraId="729EFFF9">
            <w:pPr>
              <w:spacing w:line="280" w:lineRule="exact"/>
              <w:jc w:val="center"/>
              <w:rPr>
                <w:rFonts w:hint="eastAsia" w:ascii="仿宋" w:hAnsi="仿宋" w:eastAsia="仿宋" w:cs="仿宋"/>
                <w:sz w:val="20"/>
                <w:szCs w:val="20"/>
              </w:rPr>
            </w:pPr>
          </w:p>
        </w:tc>
        <w:tc>
          <w:tcPr>
            <w:tcW w:w="1204"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27CC1F5D">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★验收标准：</w:t>
            </w:r>
          </w:p>
          <w:p w14:paraId="19424548">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（1）货物到达交货地点前，供应商应提前通知采购人组织验收。</w:t>
            </w:r>
          </w:p>
          <w:p w14:paraId="6876101A">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（2）货物到达交货地点后，采购人当场核对所有货物数量、外形参数、制作工艺，并查验产品合格证等文件。</w:t>
            </w:r>
          </w:p>
          <w:p w14:paraId="20DDEAF0">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（3）所有货物配送到位、搬运、现场摆放就位，全部检验合格后，方可进行最终验收。</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14"/>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14"/>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14"/>
      </w:pPr>
    </w:p>
    <w:p w14:paraId="4A6609B2">
      <w:pPr>
        <w:pStyle w:val="14"/>
      </w:pPr>
    </w:p>
    <w:p w14:paraId="3B997B72">
      <w:pPr>
        <w:pStyle w:val="14"/>
      </w:pPr>
    </w:p>
    <w:p w14:paraId="2F45C251">
      <w:pPr>
        <w:pStyle w:val="14"/>
      </w:pPr>
    </w:p>
    <w:p w14:paraId="1F43C56F">
      <w:pPr>
        <w:pStyle w:val="14"/>
      </w:pPr>
    </w:p>
    <w:p w14:paraId="02A1CEDD">
      <w:pPr>
        <w:pStyle w:val="14"/>
      </w:pPr>
    </w:p>
    <w:p w14:paraId="22D585AB">
      <w:pPr>
        <w:pStyle w:val="14"/>
      </w:pPr>
    </w:p>
    <w:p w14:paraId="4549493D">
      <w:pPr>
        <w:pStyle w:val="14"/>
      </w:pPr>
    </w:p>
    <w:p w14:paraId="292B5936">
      <w:pPr>
        <w:pStyle w:val="14"/>
      </w:pPr>
    </w:p>
    <w:p w14:paraId="76B95461">
      <w:pPr>
        <w:pStyle w:val="14"/>
      </w:pPr>
    </w:p>
    <w:p w14:paraId="0CB05C23">
      <w:pPr>
        <w:pStyle w:val="14"/>
      </w:pPr>
    </w:p>
    <w:p w14:paraId="64F45651">
      <w:pPr>
        <w:pStyle w:val="14"/>
      </w:pPr>
    </w:p>
    <w:p w14:paraId="09B02A09">
      <w:pPr>
        <w:pStyle w:val="14"/>
      </w:pPr>
    </w:p>
    <w:p w14:paraId="07945608">
      <w:pPr>
        <w:pStyle w:val="14"/>
      </w:pPr>
    </w:p>
    <w:p w14:paraId="08483EF3">
      <w:pPr>
        <w:pStyle w:val="14"/>
      </w:pPr>
    </w:p>
    <w:p w14:paraId="19BD881C">
      <w:pPr>
        <w:pStyle w:val="14"/>
      </w:pPr>
    </w:p>
    <w:p w14:paraId="1C0F9EAB">
      <w:pPr>
        <w:pStyle w:val="14"/>
      </w:pPr>
    </w:p>
    <w:p w14:paraId="53398400">
      <w:pPr>
        <w:pStyle w:val="14"/>
      </w:pPr>
    </w:p>
    <w:p w14:paraId="74DD36B0">
      <w:pPr>
        <w:pStyle w:val="14"/>
      </w:pPr>
    </w:p>
    <w:p w14:paraId="7373C19A">
      <w:pPr>
        <w:pStyle w:val="14"/>
      </w:pPr>
    </w:p>
    <w:p w14:paraId="355046C9">
      <w:pPr>
        <w:pStyle w:val="14"/>
      </w:pPr>
    </w:p>
    <w:p w14:paraId="74E75852">
      <w:pPr>
        <w:pStyle w:val="14"/>
      </w:pPr>
    </w:p>
    <w:p w14:paraId="16845CA6">
      <w:pPr>
        <w:spacing w:line="360" w:lineRule="auto"/>
        <w:jc w:val="both"/>
        <w:rPr>
          <w:rFonts w:hint="eastAsia" w:ascii="仿宋_GB2312" w:hAnsi="仿宋_GB2312" w:eastAsia="仿宋_GB2312"/>
          <w:b/>
          <w:bCs/>
          <w:sz w:val="36"/>
        </w:rPr>
      </w:pPr>
    </w:p>
    <w:p w14:paraId="0644D5B6">
      <w:pPr>
        <w:pStyle w:val="14"/>
        <w:rPr>
          <w:rFonts w:hint="eastAsia"/>
        </w:rPr>
      </w:pPr>
    </w:p>
    <w:p w14:paraId="30669665">
      <w:pPr>
        <w:pStyle w:val="14"/>
        <w:rPr>
          <w:rFonts w:hint="eastAsia"/>
        </w:rPr>
      </w:pPr>
    </w:p>
    <w:p w14:paraId="1754A93C">
      <w:pPr>
        <w:pStyle w:val="14"/>
        <w:rPr>
          <w:rFonts w:hint="eastAsia"/>
        </w:rPr>
      </w:pPr>
    </w:p>
    <w:p w14:paraId="145251CF">
      <w:pPr>
        <w:pStyle w:val="14"/>
        <w:rPr>
          <w:rFonts w:hint="eastAsia"/>
        </w:rPr>
      </w:pPr>
    </w:p>
    <w:p w14:paraId="5BB03057">
      <w:pPr>
        <w:pStyle w:val="14"/>
        <w:rPr>
          <w:rFonts w:hint="eastAsia"/>
        </w:rPr>
      </w:pPr>
    </w:p>
    <w:p w14:paraId="33C2B8B7">
      <w:pPr>
        <w:pStyle w:val="14"/>
        <w:rPr>
          <w:rFonts w:hint="eastAsia"/>
        </w:rPr>
      </w:pPr>
    </w:p>
    <w:p w14:paraId="658C9681">
      <w:pPr>
        <w:pStyle w:val="14"/>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5"/>
        <w:rPr>
          <w:rFonts w:hint="eastAsia"/>
        </w:rPr>
      </w:pP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14"/>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1"/>
      </w:rPr>
    </w:pPr>
  </w:p>
  <w:p w14:paraId="737B3440">
    <w:pPr>
      <w:pStyle w:val="9"/>
      <w:ind w:firstLine="2100" w:firstLineChars="2100"/>
    </w:pPr>
    <w:r>
      <w:rPr>
        <w:sz w:val="10"/>
      </w:rPr>
      <w:t xml:space="preserve">                               </w:t>
    </w:r>
    <w:r>
      <w:rPr>
        <w:rFonts w:hint="eastAsia"/>
        <w:sz w:val="10"/>
      </w:rPr>
      <w:t xml:space="preserve">     </w:t>
    </w:r>
    <w:r>
      <w:fldChar w:fldCharType="begin"/>
    </w:r>
    <w:r>
      <w:rPr>
        <w:rStyle w:val="21"/>
      </w:rPr>
      <w:instrText xml:space="preserve"> PAGE </w:instrText>
    </w:r>
    <w:r>
      <w:fldChar w:fldCharType="separate"/>
    </w:r>
    <w:r>
      <w:rPr>
        <w:rStyle w:val="21"/>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1"/>
      </w:rPr>
    </w:pPr>
    <w:r>
      <w:fldChar w:fldCharType="begin"/>
    </w:r>
    <w:r>
      <w:rPr>
        <w:rStyle w:val="21"/>
      </w:rPr>
      <w:instrText xml:space="preserve">PAGE  </w:instrText>
    </w:r>
    <w:r>
      <w:fldChar w:fldCharType="separate"/>
    </w:r>
    <w:r>
      <w:rPr>
        <w:rStyle w:val="21"/>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74378"/>
    <w:multiLevelType w:val="singleLevel"/>
    <w:tmpl w:val="A0774378"/>
    <w:lvl w:ilvl="0" w:tentative="0">
      <w:start w:val="4"/>
      <w:numFmt w:val="chineseCounting"/>
      <w:suff w:val="nothing"/>
      <w:lvlText w:val="（%1）"/>
      <w:lvlJc w:val="left"/>
      <w:rPr>
        <w:rFonts w:hint="eastAsia"/>
      </w:rPr>
    </w:lvl>
  </w:abstractNum>
  <w:abstractNum w:abstractNumId="1">
    <w:nsid w:val="A6B8DD07"/>
    <w:multiLevelType w:val="multilevel"/>
    <w:tmpl w:val="A6B8DD0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DEC3C2B"/>
    <w:multiLevelType w:val="multilevel"/>
    <w:tmpl w:val="BDEC3C2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4">
    <w:nsid w:val="FD6CC7ED"/>
    <w:multiLevelType w:val="singleLevel"/>
    <w:tmpl w:val="FD6CC7ED"/>
    <w:lvl w:ilvl="0" w:tentative="0">
      <w:start w:val="2"/>
      <w:numFmt w:val="chineseCounting"/>
      <w:suff w:val="nothing"/>
      <w:lvlText w:val="%1、"/>
      <w:lvlJc w:val="left"/>
      <w:rPr>
        <w:rFonts w:hint="eastAsia"/>
      </w:rPr>
    </w:lvl>
  </w:abstractNum>
  <w:abstractNum w:abstractNumId="5">
    <w:nsid w:val="1842CA25"/>
    <w:multiLevelType w:val="multilevel"/>
    <w:tmpl w:val="1842CA2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28C4716C"/>
    <w:multiLevelType w:val="singleLevel"/>
    <w:tmpl w:val="28C4716C"/>
    <w:lvl w:ilvl="0" w:tentative="0">
      <w:start w:val="6"/>
      <w:numFmt w:val="chineseCounting"/>
      <w:suff w:val="nothing"/>
      <w:lvlText w:val="%1、"/>
      <w:lvlJc w:val="left"/>
      <w:rPr>
        <w:rFonts w:hint="eastAsia"/>
      </w:rPr>
    </w:lvl>
  </w:abstractNum>
  <w:abstractNum w:abstractNumId="7">
    <w:nsid w:val="459C7C86"/>
    <w:multiLevelType w:val="singleLevel"/>
    <w:tmpl w:val="459C7C86"/>
    <w:lvl w:ilvl="0" w:tentative="0">
      <w:start w:val="1"/>
      <w:numFmt w:val="decimal"/>
      <w:suff w:val="nothing"/>
      <w:lvlText w:val="%1、"/>
      <w:lvlJc w:val="left"/>
    </w:lvl>
  </w:abstractNum>
  <w:abstractNum w:abstractNumId="8">
    <w:nsid w:val="69CE4588"/>
    <w:multiLevelType w:val="singleLevel"/>
    <w:tmpl w:val="69CE4588"/>
    <w:lvl w:ilvl="0" w:tentative="0">
      <w:start w:val="5"/>
      <w:numFmt w:val="chineseCounting"/>
      <w:suff w:val="nothing"/>
      <w:lvlText w:val="%1、"/>
      <w:lvlJc w:val="left"/>
      <w:rPr>
        <w:rFonts w:hint="eastAsia"/>
      </w:rPr>
    </w:lvl>
  </w:abstractNum>
  <w:abstractNum w:abstractNumId="9">
    <w:nsid w:val="71C62CE4"/>
    <w:multiLevelType w:val="singleLevel"/>
    <w:tmpl w:val="71C62CE4"/>
    <w:lvl w:ilvl="0" w:tentative="0">
      <w:start w:val="8"/>
      <w:numFmt w:val="chineseCounting"/>
      <w:suff w:val="nothing"/>
      <w:lvlText w:val="%1、"/>
      <w:lvlJc w:val="left"/>
      <w:rPr>
        <w:rFonts w:hint="eastAsia"/>
      </w:rPr>
    </w:lvl>
  </w:abstractNum>
  <w:num w:numId="1">
    <w:abstractNumId w:val="4"/>
  </w:num>
  <w:num w:numId="2">
    <w:abstractNumId w:val="8"/>
  </w:num>
  <w:num w:numId="3">
    <w:abstractNumId w:val="0"/>
  </w:num>
  <w:num w:numId="4">
    <w:abstractNumId w:val="6"/>
  </w:num>
  <w:num w:numId="5">
    <w:abstractNumId w:val="3"/>
  </w:num>
  <w:num w:numId="6">
    <w:abstractNumId w:val="9"/>
  </w:num>
  <w:num w:numId="7">
    <w:abstractNumId w:val="2"/>
  </w:num>
  <w:num w:numId="8">
    <w:abstractNumId w:val="1"/>
  </w:num>
  <w:num w:numId="9">
    <w:abstractNumId w:val="5"/>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5069"/>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2B8"/>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E1DC6"/>
    <w:rsid w:val="022033BD"/>
    <w:rsid w:val="02343E4F"/>
    <w:rsid w:val="02D04989"/>
    <w:rsid w:val="02DE0C76"/>
    <w:rsid w:val="02F8486D"/>
    <w:rsid w:val="03040CCD"/>
    <w:rsid w:val="03907B1A"/>
    <w:rsid w:val="03D943ED"/>
    <w:rsid w:val="04044B7B"/>
    <w:rsid w:val="04620A36"/>
    <w:rsid w:val="04CA514B"/>
    <w:rsid w:val="054E4D41"/>
    <w:rsid w:val="06497A35"/>
    <w:rsid w:val="06696CB1"/>
    <w:rsid w:val="067F0936"/>
    <w:rsid w:val="06DC0977"/>
    <w:rsid w:val="06F47958"/>
    <w:rsid w:val="06F840BA"/>
    <w:rsid w:val="0701580B"/>
    <w:rsid w:val="07291836"/>
    <w:rsid w:val="076572ED"/>
    <w:rsid w:val="082E31F3"/>
    <w:rsid w:val="085D01BB"/>
    <w:rsid w:val="08824884"/>
    <w:rsid w:val="08CB2746"/>
    <w:rsid w:val="08FA50E4"/>
    <w:rsid w:val="09104E34"/>
    <w:rsid w:val="09B13024"/>
    <w:rsid w:val="0AAC13CC"/>
    <w:rsid w:val="0AC460B7"/>
    <w:rsid w:val="0B090DAA"/>
    <w:rsid w:val="0B122D4B"/>
    <w:rsid w:val="0B646265"/>
    <w:rsid w:val="0BBC2506"/>
    <w:rsid w:val="0BCE727D"/>
    <w:rsid w:val="0BEA0098"/>
    <w:rsid w:val="0BF1626A"/>
    <w:rsid w:val="0C212B1E"/>
    <w:rsid w:val="0C2E6645"/>
    <w:rsid w:val="0C351053"/>
    <w:rsid w:val="0C534244"/>
    <w:rsid w:val="0C9F46C4"/>
    <w:rsid w:val="0CAA4DBE"/>
    <w:rsid w:val="0CBD16F5"/>
    <w:rsid w:val="0D204675"/>
    <w:rsid w:val="0D371894"/>
    <w:rsid w:val="0D74248A"/>
    <w:rsid w:val="0E313657"/>
    <w:rsid w:val="0E46496B"/>
    <w:rsid w:val="0E8728A9"/>
    <w:rsid w:val="0E8B2DCD"/>
    <w:rsid w:val="0E8D0B30"/>
    <w:rsid w:val="0EDA6B97"/>
    <w:rsid w:val="0F222B14"/>
    <w:rsid w:val="0F403993"/>
    <w:rsid w:val="0F997FFE"/>
    <w:rsid w:val="104F3F68"/>
    <w:rsid w:val="10B63FE7"/>
    <w:rsid w:val="10D8319E"/>
    <w:rsid w:val="10F16DCD"/>
    <w:rsid w:val="10FB3C68"/>
    <w:rsid w:val="11140D0D"/>
    <w:rsid w:val="11254AAD"/>
    <w:rsid w:val="11D113C2"/>
    <w:rsid w:val="123218A4"/>
    <w:rsid w:val="12B75243"/>
    <w:rsid w:val="12DD6CF8"/>
    <w:rsid w:val="13220D35"/>
    <w:rsid w:val="1346162F"/>
    <w:rsid w:val="134B1013"/>
    <w:rsid w:val="13542B43"/>
    <w:rsid w:val="137912FC"/>
    <w:rsid w:val="14040CF5"/>
    <w:rsid w:val="145C7D16"/>
    <w:rsid w:val="14C33176"/>
    <w:rsid w:val="14D13334"/>
    <w:rsid w:val="15031585"/>
    <w:rsid w:val="15502E9C"/>
    <w:rsid w:val="155B17C7"/>
    <w:rsid w:val="158A56F8"/>
    <w:rsid w:val="15BF5C2B"/>
    <w:rsid w:val="15ED6EB7"/>
    <w:rsid w:val="15FC5020"/>
    <w:rsid w:val="1614300D"/>
    <w:rsid w:val="16403346"/>
    <w:rsid w:val="16452E96"/>
    <w:rsid w:val="166B30D5"/>
    <w:rsid w:val="168461FE"/>
    <w:rsid w:val="16D307E2"/>
    <w:rsid w:val="1730195F"/>
    <w:rsid w:val="17483C7D"/>
    <w:rsid w:val="180B36BA"/>
    <w:rsid w:val="18105490"/>
    <w:rsid w:val="188E7629"/>
    <w:rsid w:val="189E7B72"/>
    <w:rsid w:val="18BA3C1F"/>
    <w:rsid w:val="18BB7AA9"/>
    <w:rsid w:val="19020937"/>
    <w:rsid w:val="19044F98"/>
    <w:rsid w:val="196440B8"/>
    <w:rsid w:val="199C02DC"/>
    <w:rsid w:val="19AE0E3D"/>
    <w:rsid w:val="19CF2E4C"/>
    <w:rsid w:val="19E27BFB"/>
    <w:rsid w:val="19FC5530"/>
    <w:rsid w:val="1A1837F3"/>
    <w:rsid w:val="1A1E6D69"/>
    <w:rsid w:val="1A6E493F"/>
    <w:rsid w:val="1A7E2606"/>
    <w:rsid w:val="1AA027BB"/>
    <w:rsid w:val="1B001A24"/>
    <w:rsid w:val="1B096967"/>
    <w:rsid w:val="1B304628"/>
    <w:rsid w:val="1B481CCF"/>
    <w:rsid w:val="1B531365"/>
    <w:rsid w:val="1C534DE0"/>
    <w:rsid w:val="1C92116A"/>
    <w:rsid w:val="1CB049EF"/>
    <w:rsid w:val="1CCD3C1B"/>
    <w:rsid w:val="1CFC0FF0"/>
    <w:rsid w:val="1CFE50B1"/>
    <w:rsid w:val="1D113F42"/>
    <w:rsid w:val="1D217272"/>
    <w:rsid w:val="1D5057BB"/>
    <w:rsid w:val="1D7F5108"/>
    <w:rsid w:val="1D8A6B6F"/>
    <w:rsid w:val="1DC0145E"/>
    <w:rsid w:val="1DD47E4B"/>
    <w:rsid w:val="1DEC57A6"/>
    <w:rsid w:val="1E1F57CD"/>
    <w:rsid w:val="1E413AA8"/>
    <w:rsid w:val="1E76533C"/>
    <w:rsid w:val="1E7931C4"/>
    <w:rsid w:val="1EB107C7"/>
    <w:rsid w:val="1EE060B2"/>
    <w:rsid w:val="1F163863"/>
    <w:rsid w:val="1F3D76D1"/>
    <w:rsid w:val="1F6E4073"/>
    <w:rsid w:val="1FBE56A1"/>
    <w:rsid w:val="1FF5625F"/>
    <w:rsid w:val="206261AF"/>
    <w:rsid w:val="207332DB"/>
    <w:rsid w:val="20BE2A44"/>
    <w:rsid w:val="20CD585E"/>
    <w:rsid w:val="211803A6"/>
    <w:rsid w:val="212154AC"/>
    <w:rsid w:val="21644AD8"/>
    <w:rsid w:val="21B04A82"/>
    <w:rsid w:val="21E029B7"/>
    <w:rsid w:val="21E83C8A"/>
    <w:rsid w:val="21FE64EE"/>
    <w:rsid w:val="22181FFD"/>
    <w:rsid w:val="221E41AF"/>
    <w:rsid w:val="22297C26"/>
    <w:rsid w:val="22553F99"/>
    <w:rsid w:val="22F964DC"/>
    <w:rsid w:val="234C23C0"/>
    <w:rsid w:val="23D70D5D"/>
    <w:rsid w:val="23E3036F"/>
    <w:rsid w:val="23E94A10"/>
    <w:rsid w:val="23F91212"/>
    <w:rsid w:val="24175420"/>
    <w:rsid w:val="24362377"/>
    <w:rsid w:val="245871C2"/>
    <w:rsid w:val="248A17F6"/>
    <w:rsid w:val="24AE615D"/>
    <w:rsid w:val="24C73E65"/>
    <w:rsid w:val="24D942F0"/>
    <w:rsid w:val="25077ECF"/>
    <w:rsid w:val="25082E0F"/>
    <w:rsid w:val="25214496"/>
    <w:rsid w:val="253A38FD"/>
    <w:rsid w:val="25520D64"/>
    <w:rsid w:val="25626093"/>
    <w:rsid w:val="25720777"/>
    <w:rsid w:val="257E5B91"/>
    <w:rsid w:val="25BA7C7E"/>
    <w:rsid w:val="25F10744"/>
    <w:rsid w:val="260E3FFB"/>
    <w:rsid w:val="260F1419"/>
    <w:rsid w:val="261F6B9F"/>
    <w:rsid w:val="26274D25"/>
    <w:rsid w:val="26290229"/>
    <w:rsid w:val="26733A9C"/>
    <w:rsid w:val="267F0C45"/>
    <w:rsid w:val="26F03ABB"/>
    <w:rsid w:val="26FE086B"/>
    <w:rsid w:val="274E2D73"/>
    <w:rsid w:val="27980803"/>
    <w:rsid w:val="27AA58C6"/>
    <w:rsid w:val="27E61803"/>
    <w:rsid w:val="27E70A99"/>
    <w:rsid w:val="287B193C"/>
    <w:rsid w:val="28975DA4"/>
    <w:rsid w:val="28A36273"/>
    <w:rsid w:val="28B60452"/>
    <w:rsid w:val="28C26704"/>
    <w:rsid w:val="28D958E9"/>
    <w:rsid w:val="29830BB3"/>
    <w:rsid w:val="298E3AB4"/>
    <w:rsid w:val="29F93B7E"/>
    <w:rsid w:val="29FF7361"/>
    <w:rsid w:val="2A473337"/>
    <w:rsid w:val="2A743136"/>
    <w:rsid w:val="2AB624C2"/>
    <w:rsid w:val="2AF93390"/>
    <w:rsid w:val="2B0D4CF3"/>
    <w:rsid w:val="2B2008F3"/>
    <w:rsid w:val="2B297183"/>
    <w:rsid w:val="2C5C7914"/>
    <w:rsid w:val="2C6E757B"/>
    <w:rsid w:val="2CBA592E"/>
    <w:rsid w:val="2CFF3C04"/>
    <w:rsid w:val="2D121481"/>
    <w:rsid w:val="2D1759B5"/>
    <w:rsid w:val="2D892209"/>
    <w:rsid w:val="2DCB765C"/>
    <w:rsid w:val="2E1B1F89"/>
    <w:rsid w:val="2E642E7C"/>
    <w:rsid w:val="2E6764C9"/>
    <w:rsid w:val="2E6C2B65"/>
    <w:rsid w:val="2EA73A95"/>
    <w:rsid w:val="2F0F5433"/>
    <w:rsid w:val="2F110F46"/>
    <w:rsid w:val="2F141ECB"/>
    <w:rsid w:val="2FAA2B11"/>
    <w:rsid w:val="2FCB7E61"/>
    <w:rsid w:val="2FE37DD1"/>
    <w:rsid w:val="302E00A6"/>
    <w:rsid w:val="305A62E5"/>
    <w:rsid w:val="31015A6F"/>
    <w:rsid w:val="311526EE"/>
    <w:rsid w:val="311A5F42"/>
    <w:rsid w:val="312F6D42"/>
    <w:rsid w:val="31300F41"/>
    <w:rsid w:val="31B30C20"/>
    <w:rsid w:val="31CA113F"/>
    <w:rsid w:val="31FD6E89"/>
    <w:rsid w:val="32056A82"/>
    <w:rsid w:val="322B515B"/>
    <w:rsid w:val="324E75E7"/>
    <w:rsid w:val="329406B8"/>
    <w:rsid w:val="32B57170"/>
    <w:rsid w:val="32F66BC8"/>
    <w:rsid w:val="331442B8"/>
    <w:rsid w:val="33280920"/>
    <w:rsid w:val="33513918"/>
    <w:rsid w:val="33556074"/>
    <w:rsid w:val="335F6FD7"/>
    <w:rsid w:val="33684842"/>
    <w:rsid w:val="33870019"/>
    <w:rsid w:val="33FA13D4"/>
    <w:rsid w:val="34022063"/>
    <w:rsid w:val="34A07C25"/>
    <w:rsid w:val="34E844EF"/>
    <w:rsid w:val="35625CB1"/>
    <w:rsid w:val="358F6F80"/>
    <w:rsid w:val="359B6AF0"/>
    <w:rsid w:val="35B44A00"/>
    <w:rsid w:val="35D26A5B"/>
    <w:rsid w:val="35DB414D"/>
    <w:rsid w:val="35FD303D"/>
    <w:rsid w:val="360A2438"/>
    <w:rsid w:val="36131560"/>
    <w:rsid w:val="362D006F"/>
    <w:rsid w:val="3652180C"/>
    <w:rsid w:val="36542B9B"/>
    <w:rsid w:val="368046BC"/>
    <w:rsid w:val="368162C1"/>
    <w:rsid w:val="36A057BB"/>
    <w:rsid w:val="36C720A4"/>
    <w:rsid w:val="36D40DB0"/>
    <w:rsid w:val="37042751"/>
    <w:rsid w:val="371A419D"/>
    <w:rsid w:val="375B0AE1"/>
    <w:rsid w:val="37BC7880"/>
    <w:rsid w:val="37F244D7"/>
    <w:rsid w:val="380B6117"/>
    <w:rsid w:val="385524A9"/>
    <w:rsid w:val="387B7C35"/>
    <w:rsid w:val="388749CB"/>
    <w:rsid w:val="389D4DE2"/>
    <w:rsid w:val="38CC1C3C"/>
    <w:rsid w:val="393A4A99"/>
    <w:rsid w:val="39764653"/>
    <w:rsid w:val="39810D86"/>
    <w:rsid w:val="398C131E"/>
    <w:rsid w:val="39EE3E95"/>
    <w:rsid w:val="3A1F3872"/>
    <w:rsid w:val="3A674ABB"/>
    <w:rsid w:val="3A920212"/>
    <w:rsid w:val="3AA4054B"/>
    <w:rsid w:val="3AB1777F"/>
    <w:rsid w:val="3AC577F8"/>
    <w:rsid w:val="3ADB7DF8"/>
    <w:rsid w:val="3AFB7038"/>
    <w:rsid w:val="3B00431D"/>
    <w:rsid w:val="3B2A6F08"/>
    <w:rsid w:val="3B3479AB"/>
    <w:rsid w:val="3B4B4CDD"/>
    <w:rsid w:val="3B8701AA"/>
    <w:rsid w:val="3BB60406"/>
    <w:rsid w:val="3C3928D5"/>
    <w:rsid w:val="3C99647A"/>
    <w:rsid w:val="3CBA2232"/>
    <w:rsid w:val="3D213E90"/>
    <w:rsid w:val="3DA4025B"/>
    <w:rsid w:val="3DB114C5"/>
    <w:rsid w:val="3E1451A0"/>
    <w:rsid w:val="3E4C1002"/>
    <w:rsid w:val="3E6A4028"/>
    <w:rsid w:val="3E7519AB"/>
    <w:rsid w:val="3E8F54E1"/>
    <w:rsid w:val="3EE70836"/>
    <w:rsid w:val="3F2036EE"/>
    <w:rsid w:val="3F5462F2"/>
    <w:rsid w:val="3F5941D9"/>
    <w:rsid w:val="3FC30892"/>
    <w:rsid w:val="3FF30B2F"/>
    <w:rsid w:val="3FF33F15"/>
    <w:rsid w:val="400D7D93"/>
    <w:rsid w:val="404219BA"/>
    <w:rsid w:val="4070688B"/>
    <w:rsid w:val="40C24AD6"/>
    <w:rsid w:val="40EC4DEE"/>
    <w:rsid w:val="4139520E"/>
    <w:rsid w:val="41D1611A"/>
    <w:rsid w:val="41DC630A"/>
    <w:rsid w:val="42066E88"/>
    <w:rsid w:val="42787474"/>
    <w:rsid w:val="42A012DD"/>
    <w:rsid w:val="4329772D"/>
    <w:rsid w:val="432A3AEC"/>
    <w:rsid w:val="433C29B6"/>
    <w:rsid w:val="436F0A2C"/>
    <w:rsid w:val="437D46D3"/>
    <w:rsid w:val="43837BF3"/>
    <w:rsid w:val="43B609AD"/>
    <w:rsid w:val="43CA03C9"/>
    <w:rsid w:val="43E15EC3"/>
    <w:rsid w:val="440F4D37"/>
    <w:rsid w:val="4410632B"/>
    <w:rsid w:val="445C4E37"/>
    <w:rsid w:val="44AC48CF"/>
    <w:rsid w:val="44FC5BF6"/>
    <w:rsid w:val="4515367E"/>
    <w:rsid w:val="452C1C8C"/>
    <w:rsid w:val="45CF1069"/>
    <w:rsid w:val="46633E5E"/>
    <w:rsid w:val="4686391A"/>
    <w:rsid w:val="46A90693"/>
    <w:rsid w:val="46C67DA0"/>
    <w:rsid w:val="46CD5B35"/>
    <w:rsid w:val="46CE7109"/>
    <w:rsid w:val="46F459F4"/>
    <w:rsid w:val="46F64735"/>
    <w:rsid w:val="46FF32EA"/>
    <w:rsid w:val="475A449F"/>
    <w:rsid w:val="478607E6"/>
    <w:rsid w:val="47A63299"/>
    <w:rsid w:val="47AD1BF8"/>
    <w:rsid w:val="47E114CB"/>
    <w:rsid w:val="47FB7F56"/>
    <w:rsid w:val="48004C2D"/>
    <w:rsid w:val="48031435"/>
    <w:rsid w:val="486215CF"/>
    <w:rsid w:val="48816CAD"/>
    <w:rsid w:val="48BC6665"/>
    <w:rsid w:val="48C76BF4"/>
    <w:rsid w:val="48D72771"/>
    <w:rsid w:val="48DF721E"/>
    <w:rsid w:val="48E21116"/>
    <w:rsid w:val="490613C9"/>
    <w:rsid w:val="49276B29"/>
    <w:rsid w:val="49301E81"/>
    <w:rsid w:val="49351B37"/>
    <w:rsid w:val="494B0A69"/>
    <w:rsid w:val="49695393"/>
    <w:rsid w:val="49C27E46"/>
    <w:rsid w:val="49C8030C"/>
    <w:rsid w:val="49D02FE5"/>
    <w:rsid w:val="49D822B4"/>
    <w:rsid w:val="49E12138"/>
    <w:rsid w:val="4A0F498D"/>
    <w:rsid w:val="4A686320"/>
    <w:rsid w:val="4A6B1DC9"/>
    <w:rsid w:val="4A83274D"/>
    <w:rsid w:val="4AA61C10"/>
    <w:rsid w:val="4AB13AFF"/>
    <w:rsid w:val="4B1E3227"/>
    <w:rsid w:val="4B491944"/>
    <w:rsid w:val="4B59667D"/>
    <w:rsid w:val="4B5F07FC"/>
    <w:rsid w:val="4B7661E4"/>
    <w:rsid w:val="4C434755"/>
    <w:rsid w:val="4C4446EF"/>
    <w:rsid w:val="4C6F3264"/>
    <w:rsid w:val="4C8D0224"/>
    <w:rsid w:val="4CD75811"/>
    <w:rsid w:val="4CFB26C0"/>
    <w:rsid w:val="4D123D00"/>
    <w:rsid w:val="4D471771"/>
    <w:rsid w:val="4D5B06BC"/>
    <w:rsid w:val="4D77070B"/>
    <w:rsid w:val="4D8B18D1"/>
    <w:rsid w:val="4D906B4D"/>
    <w:rsid w:val="4DEB17E5"/>
    <w:rsid w:val="4E290DAF"/>
    <w:rsid w:val="4E2E1930"/>
    <w:rsid w:val="4E4F796E"/>
    <w:rsid w:val="4ECA2430"/>
    <w:rsid w:val="4ED81994"/>
    <w:rsid w:val="4F92779E"/>
    <w:rsid w:val="4FA113E3"/>
    <w:rsid w:val="4FF60775"/>
    <w:rsid w:val="502F34BB"/>
    <w:rsid w:val="503E2F33"/>
    <w:rsid w:val="504428BE"/>
    <w:rsid w:val="506B2685"/>
    <w:rsid w:val="50943942"/>
    <w:rsid w:val="51403B6E"/>
    <w:rsid w:val="51623003"/>
    <w:rsid w:val="51BD5F37"/>
    <w:rsid w:val="51BE0D94"/>
    <w:rsid w:val="52037724"/>
    <w:rsid w:val="52100317"/>
    <w:rsid w:val="522143CD"/>
    <w:rsid w:val="52792D2F"/>
    <w:rsid w:val="52A96FA4"/>
    <w:rsid w:val="52E11A47"/>
    <w:rsid w:val="531C4DAC"/>
    <w:rsid w:val="53590226"/>
    <w:rsid w:val="535F1397"/>
    <w:rsid w:val="539A62D6"/>
    <w:rsid w:val="53CC15AA"/>
    <w:rsid w:val="54472F7E"/>
    <w:rsid w:val="54D620C6"/>
    <w:rsid w:val="5527238A"/>
    <w:rsid w:val="554D361A"/>
    <w:rsid w:val="554E6B03"/>
    <w:rsid w:val="55F14746"/>
    <w:rsid w:val="55F86DFD"/>
    <w:rsid w:val="560817B5"/>
    <w:rsid w:val="56186177"/>
    <w:rsid w:val="561D0456"/>
    <w:rsid w:val="56616849"/>
    <w:rsid w:val="566B62A7"/>
    <w:rsid w:val="56750AE4"/>
    <w:rsid w:val="56B802D4"/>
    <w:rsid w:val="56BA38F4"/>
    <w:rsid w:val="56C90DDF"/>
    <w:rsid w:val="5714192E"/>
    <w:rsid w:val="57CA6046"/>
    <w:rsid w:val="57E65061"/>
    <w:rsid w:val="58254826"/>
    <w:rsid w:val="582F759C"/>
    <w:rsid w:val="587162B9"/>
    <w:rsid w:val="58791C73"/>
    <w:rsid w:val="58920E5F"/>
    <w:rsid w:val="58E0315C"/>
    <w:rsid w:val="59301E5D"/>
    <w:rsid w:val="59440C82"/>
    <w:rsid w:val="59540F1D"/>
    <w:rsid w:val="595F18C0"/>
    <w:rsid w:val="597E4463"/>
    <w:rsid w:val="59AC3AB2"/>
    <w:rsid w:val="59AF1DFA"/>
    <w:rsid w:val="5A043401"/>
    <w:rsid w:val="5A6514E8"/>
    <w:rsid w:val="5ABE04EF"/>
    <w:rsid w:val="5ADD7AB6"/>
    <w:rsid w:val="5B0A4D6B"/>
    <w:rsid w:val="5B1D1788"/>
    <w:rsid w:val="5B212D92"/>
    <w:rsid w:val="5BA9202E"/>
    <w:rsid w:val="5BF40AEC"/>
    <w:rsid w:val="5BFD0E7B"/>
    <w:rsid w:val="5C135D05"/>
    <w:rsid w:val="5C764A62"/>
    <w:rsid w:val="5C891B7C"/>
    <w:rsid w:val="5C8E2CEF"/>
    <w:rsid w:val="5C9A4778"/>
    <w:rsid w:val="5CAF0C9F"/>
    <w:rsid w:val="5CC33F0A"/>
    <w:rsid w:val="5D2E729C"/>
    <w:rsid w:val="5D8D1DE0"/>
    <w:rsid w:val="5D9C7014"/>
    <w:rsid w:val="5DA77BB2"/>
    <w:rsid w:val="5DFF1DD2"/>
    <w:rsid w:val="5E425832"/>
    <w:rsid w:val="5E883DBE"/>
    <w:rsid w:val="5EA031AD"/>
    <w:rsid w:val="5ED51227"/>
    <w:rsid w:val="5EE16EB0"/>
    <w:rsid w:val="5EEE3F19"/>
    <w:rsid w:val="5EFD415C"/>
    <w:rsid w:val="5F3062DF"/>
    <w:rsid w:val="5F39504E"/>
    <w:rsid w:val="5F781A34"/>
    <w:rsid w:val="5F9B6EC2"/>
    <w:rsid w:val="5FF732A1"/>
    <w:rsid w:val="6023357A"/>
    <w:rsid w:val="602441E8"/>
    <w:rsid w:val="606C7D42"/>
    <w:rsid w:val="60790EC0"/>
    <w:rsid w:val="60847A10"/>
    <w:rsid w:val="60867FEA"/>
    <w:rsid w:val="60C26B4A"/>
    <w:rsid w:val="60EF4DCF"/>
    <w:rsid w:val="613D594C"/>
    <w:rsid w:val="61954924"/>
    <w:rsid w:val="61DF7FD2"/>
    <w:rsid w:val="61E55288"/>
    <w:rsid w:val="62074C63"/>
    <w:rsid w:val="62165F89"/>
    <w:rsid w:val="623E513D"/>
    <w:rsid w:val="624B1238"/>
    <w:rsid w:val="62B62164"/>
    <w:rsid w:val="62B73860"/>
    <w:rsid w:val="62BF377C"/>
    <w:rsid w:val="62C5203B"/>
    <w:rsid w:val="62D936D5"/>
    <w:rsid w:val="63026180"/>
    <w:rsid w:val="634C55B9"/>
    <w:rsid w:val="638031CB"/>
    <w:rsid w:val="63A35141"/>
    <w:rsid w:val="63A84648"/>
    <w:rsid w:val="6443678C"/>
    <w:rsid w:val="6471114E"/>
    <w:rsid w:val="64AC2938"/>
    <w:rsid w:val="64C16D8E"/>
    <w:rsid w:val="64D0042D"/>
    <w:rsid w:val="64FB6666"/>
    <w:rsid w:val="655B17D7"/>
    <w:rsid w:val="65714F6D"/>
    <w:rsid w:val="65B5316B"/>
    <w:rsid w:val="65E40437"/>
    <w:rsid w:val="65FF44E4"/>
    <w:rsid w:val="6602164A"/>
    <w:rsid w:val="660D52D7"/>
    <w:rsid w:val="661D4CF5"/>
    <w:rsid w:val="66402D4F"/>
    <w:rsid w:val="66533F6E"/>
    <w:rsid w:val="668D04BB"/>
    <w:rsid w:val="66BB049A"/>
    <w:rsid w:val="670F0BE0"/>
    <w:rsid w:val="671A4ED2"/>
    <w:rsid w:val="6761234C"/>
    <w:rsid w:val="6764762E"/>
    <w:rsid w:val="678533DE"/>
    <w:rsid w:val="67C411C3"/>
    <w:rsid w:val="67CF069A"/>
    <w:rsid w:val="67E1027C"/>
    <w:rsid w:val="67F07B5B"/>
    <w:rsid w:val="68243ABF"/>
    <w:rsid w:val="68464643"/>
    <w:rsid w:val="68D96C7B"/>
    <w:rsid w:val="698450AA"/>
    <w:rsid w:val="69856658"/>
    <w:rsid w:val="699D0A15"/>
    <w:rsid w:val="69A62BA0"/>
    <w:rsid w:val="6A1A1F1D"/>
    <w:rsid w:val="6A293639"/>
    <w:rsid w:val="6A3D5BDA"/>
    <w:rsid w:val="6A5512F0"/>
    <w:rsid w:val="6A78665E"/>
    <w:rsid w:val="6AE74381"/>
    <w:rsid w:val="6B397730"/>
    <w:rsid w:val="6B6537B4"/>
    <w:rsid w:val="6B87759B"/>
    <w:rsid w:val="6B892397"/>
    <w:rsid w:val="6BAB2FA1"/>
    <w:rsid w:val="6BC228D5"/>
    <w:rsid w:val="6BCB6740"/>
    <w:rsid w:val="6C7E3B0E"/>
    <w:rsid w:val="6C9D6941"/>
    <w:rsid w:val="6C9E6F7E"/>
    <w:rsid w:val="6CD30C48"/>
    <w:rsid w:val="6D23212A"/>
    <w:rsid w:val="6D394EF9"/>
    <w:rsid w:val="6D4E5D12"/>
    <w:rsid w:val="6D5E4882"/>
    <w:rsid w:val="6DA22A9E"/>
    <w:rsid w:val="6DA70FF2"/>
    <w:rsid w:val="6E255143"/>
    <w:rsid w:val="6E51148A"/>
    <w:rsid w:val="6E6639AE"/>
    <w:rsid w:val="6E7C43E3"/>
    <w:rsid w:val="6EE67BF2"/>
    <w:rsid w:val="6EFA4222"/>
    <w:rsid w:val="6EFC477F"/>
    <w:rsid w:val="6F2B52F1"/>
    <w:rsid w:val="6F4B4B47"/>
    <w:rsid w:val="6F6325CC"/>
    <w:rsid w:val="6F7638B3"/>
    <w:rsid w:val="6F7B6582"/>
    <w:rsid w:val="6F80797E"/>
    <w:rsid w:val="6F912DCA"/>
    <w:rsid w:val="6FCE7B7A"/>
    <w:rsid w:val="70007ECC"/>
    <w:rsid w:val="701F3D7E"/>
    <w:rsid w:val="70716381"/>
    <w:rsid w:val="70F91769"/>
    <w:rsid w:val="712325AD"/>
    <w:rsid w:val="7134515D"/>
    <w:rsid w:val="7171012E"/>
    <w:rsid w:val="71F95A89"/>
    <w:rsid w:val="729676C2"/>
    <w:rsid w:val="72A2054B"/>
    <w:rsid w:val="72B41A3F"/>
    <w:rsid w:val="72B91454"/>
    <w:rsid w:val="72F356B5"/>
    <w:rsid w:val="72F878BD"/>
    <w:rsid w:val="731E657B"/>
    <w:rsid w:val="73904ACB"/>
    <w:rsid w:val="73B02AF8"/>
    <w:rsid w:val="73B06178"/>
    <w:rsid w:val="74065015"/>
    <w:rsid w:val="741458A8"/>
    <w:rsid w:val="74157F65"/>
    <w:rsid w:val="748F2705"/>
    <w:rsid w:val="74B60BDD"/>
    <w:rsid w:val="74D21440"/>
    <w:rsid w:val="74D57470"/>
    <w:rsid w:val="752A5F89"/>
    <w:rsid w:val="755D5C2B"/>
    <w:rsid w:val="755F2B0A"/>
    <w:rsid w:val="756E47CA"/>
    <w:rsid w:val="75731C89"/>
    <w:rsid w:val="75B71377"/>
    <w:rsid w:val="75CE4A51"/>
    <w:rsid w:val="75F417DC"/>
    <w:rsid w:val="76E83F7B"/>
    <w:rsid w:val="76EF4389"/>
    <w:rsid w:val="76FA7C78"/>
    <w:rsid w:val="76FF32C8"/>
    <w:rsid w:val="7705172F"/>
    <w:rsid w:val="77185B7F"/>
    <w:rsid w:val="771E02F9"/>
    <w:rsid w:val="779B6E98"/>
    <w:rsid w:val="77D90A2D"/>
    <w:rsid w:val="78476152"/>
    <w:rsid w:val="785F068D"/>
    <w:rsid w:val="7860333A"/>
    <w:rsid w:val="78622F0F"/>
    <w:rsid w:val="788C1D9C"/>
    <w:rsid w:val="78970DCC"/>
    <w:rsid w:val="791436D9"/>
    <w:rsid w:val="797152CB"/>
    <w:rsid w:val="797D0571"/>
    <w:rsid w:val="797E1B0E"/>
    <w:rsid w:val="79C008CD"/>
    <w:rsid w:val="79C6605A"/>
    <w:rsid w:val="79E10F84"/>
    <w:rsid w:val="7A0E692C"/>
    <w:rsid w:val="7A40469E"/>
    <w:rsid w:val="7A577274"/>
    <w:rsid w:val="7A5D61CD"/>
    <w:rsid w:val="7A68455E"/>
    <w:rsid w:val="7A767D07"/>
    <w:rsid w:val="7A8F4231"/>
    <w:rsid w:val="7AE56F93"/>
    <w:rsid w:val="7B1F7151"/>
    <w:rsid w:val="7B4A6771"/>
    <w:rsid w:val="7B7B2F22"/>
    <w:rsid w:val="7BD865C1"/>
    <w:rsid w:val="7BF5672D"/>
    <w:rsid w:val="7C0C5586"/>
    <w:rsid w:val="7C4D0079"/>
    <w:rsid w:val="7C623126"/>
    <w:rsid w:val="7C8B61BE"/>
    <w:rsid w:val="7C8D434B"/>
    <w:rsid w:val="7C9B7036"/>
    <w:rsid w:val="7CBB4DB2"/>
    <w:rsid w:val="7CF01299"/>
    <w:rsid w:val="7D036989"/>
    <w:rsid w:val="7D1F5752"/>
    <w:rsid w:val="7D435A68"/>
    <w:rsid w:val="7DAC4789"/>
    <w:rsid w:val="7E1F54F4"/>
    <w:rsid w:val="7E6B1276"/>
    <w:rsid w:val="7E795A6A"/>
    <w:rsid w:val="7ED357CA"/>
    <w:rsid w:val="7EE97656"/>
    <w:rsid w:val="7F21759B"/>
    <w:rsid w:val="7F563EA0"/>
    <w:rsid w:val="7F5F5006"/>
    <w:rsid w:val="7F657A81"/>
    <w:rsid w:val="7F782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7"/>
    <w:qFormat/>
    <w:uiPriority w:val="0"/>
    <w:rPr>
      <w:rFonts w:ascii="宋体" w:hAnsi="Courier New"/>
      <w:szCs w:val="21"/>
    </w:rPr>
  </w:style>
  <w:style w:type="paragraph" w:styleId="7">
    <w:name w:val="Body Text Indent 2"/>
    <w:basedOn w:val="1"/>
    <w:link w:val="32"/>
    <w:qFormat/>
    <w:uiPriority w:val="0"/>
    <w:pPr>
      <w:ind w:firstLine="482" w:firstLineChars="200"/>
    </w:pPr>
    <w:rPr>
      <w:rFonts w:ascii="宋体"/>
      <w:b/>
      <w:bCs/>
      <w:sz w:val="24"/>
    </w:rPr>
  </w:style>
  <w:style w:type="paragraph" w:styleId="8">
    <w:name w:val="Balloon Text"/>
    <w:basedOn w:val="1"/>
    <w:link w:val="26"/>
    <w:qFormat/>
    <w:uiPriority w:val="0"/>
    <w:rPr>
      <w:sz w:val="18"/>
      <w:szCs w:val="18"/>
    </w:rPr>
  </w:style>
  <w:style w:type="paragraph" w:styleId="9">
    <w:name w:val="footer"/>
    <w:basedOn w:val="1"/>
    <w:link w:val="34"/>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3"/>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4"/>
    <w:next w:val="4"/>
    <w:link w:val="31"/>
    <w:semiHidden/>
    <w:unhideWhenUsed/>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unhideWhenUsed/>
    <w:qFormat/>
    <w:uiPriority w:val="0"/>
    <w:rPr>
      <w:color w:val="0000FF" w:themeColor="hyperlink"/>
      <w:u w:val="single"/>
      <w14:textFill>
        <w14:solidFill>
          <w14:schemeClr w14:val="hlink"/>
        </w14:solidFill>
      </w14:textFill>
    </w:rPr>
  </w:style>
  <w:style w:type="character" w:styleId="23">
    <w:name w:val="annotation reference"/>
    <w:basedOn w:val="19"/>
    <w:semiHidden/>
    <w:unhideWhenUsed/>
    <w:qFormat/>
    <w:uiPriority w:val="0"/>
    <w:rPr>
      <w:sz w:val="21"/>
      <w:szCs w:val="21"/>
    </w:rPr>
  </w:style>
  <w:style w:type="character" w:styleId="24">
    <w:name w:val="footnote reference"/>
    <w:basedOn w:val="19"/>
    <w:semiHidden/>
    <w:unhideWhenUsed/>
    <w:qFormat/>
    <w:uiPriority w:val="0"/>
    <w:rPr>
      <w:vertAlign w:val="superscript"/>
    </w:rPr>
  </w:style>
  <w:style w:type="paragraph" w:customStyle="1" w:styleId="2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批注框文本 字符"/>
    <w:basedOn w:val="19"/>
    <w:link w:val="8"/>
    <w:qFormat/>
    <w:uiPriority w:val="0"/>
    <w:rPr>
      <w:kern w:val="2"/>
      <w:sz w:val="18"/>
      <w:szCs w:val="18"/>
    </w:rPr>
  </w:style>
  <w:style w:type="character" w:customStyle="1" w:styleId="27">
    <w:name w:val="纯文本 字符"/>
    <w:basedOn w:val="19"/>
    <w:link w:val="6"/>
    <w:qFormat/>
    <w:uiPriority w:val="0"/>
    <w:rPr>
      <w:rFonts w:ascii="宋体" w:hAnsi="Courier New"/>
      <w:kern w:val="2"/>
      <w:sz w:val="21"/>
      <w:szCs w:val="21"/>
    </w:rPr>
  </w:style>
  <w:style w:type="paragraph" w:customStyle="1" w:styleId="28">
    <w:name w:val="修订1"/>
    <w:semiHidden/>
    <w:qFormat/>
    <w:uiPriority w:val="99"/>
    <w:rPr>
      <w:rFonts w:ascii="Times New Roman" w:hAnsi="Times New Roman" w:eastAsia="宋体" w:cs="Times New Roman"/>
      <w:kern w:val="2"/>
      <w:sz w:val="21"/>
      <w:szCs w:val="24"/>
      <w:lang w:val="en-US" w:eastAsia="zh-CN" w:bidi="ar-SA"/>
    </w:rPr>
  </w:style>
  <w:style w:type="paragraph" w:styleId="29">
    <w:name w:val="List Paragraph"/>
    <w:basedOn w:val="1"/>
    <w:qFormat/>
    <w:uiPriority w:val="34"/>
    <w:pPr>
      <w:ind w:firstLine="420" w:firstLineChars="200"/>
    </w:pPr>
  </w:style>
  <w:style w:type="character" w:customStyle="1" w:styleId="30">
    <w:name w:val="批注文字 字符"/>
    <w:basedOn w:val="19"/>
    <w:link w:val="4"/>
    <w:qFormat/>
    <w:uiPriority w:val="0"/>
    <w:rPr>
      <w:kern w:val="2"/>
      <w:sz w:val="21"/>
      <w:szCs w:val="24"/>
    </w:rPr>
  </w:style>
  <w:style w:type="character" w:customStyle="1" w:styleId="31">
    <w:name w:val="批注主题 字符"/>
    <w:basedOn w:val="30"/>
    <w:link w:val="16"/>
    <w:semiHidden/>
    <w:qFormat/>
    <w:uiPriority w:val="0"/>
    <w:rPr>
      <w:b/>
      <w:bCs/>
      <w:kern w:val="2"/>
      <w:sz w:val="21"/>
      <w:szCs w:val="24"/>
    </w:rPr>
  </w:style>
  <w:style w:type="character" w:customStyle="1" w:styleId="32">
    <w:name w:val="正文文本缩进 2 字符"/>
    <w:basedOn w:val="19"/>
    <w:link w:val="7"/>
    <w:qFormat/>
    <w:uiPriority w:val="0"/>
    <w:rPr>
      <w:rFonts w:ascii="宋体"/>
      <w:b/>
      <w:bCs/>
      <w:kern w:val="2"/>
      <w:sz w:val="24"/>
      <w:szCs w:val="24"/>
    </w:rPr>
  </w:style>
  <w:style w:type="character" w:customStyle="1" w:styleId="33">
    <w:name w:val="脚注文本 字符"/>
    <w:basedOn w:val="19"/>
    <w:link w:val="12"/>
    <w:semiHidden/>
    <w:qFormat/>
    <w:uiPriority w:val="0"/>
    <w:rPr>
      <w:kern w:val="2"/>
      <w:sz w:val="18"/>
      <w:szCs w:val="18"/>
    </w:rPr>
  </w:style>
  <w:style w:type="character" w:customStyle="1" w:styleId="34">
    <w:name w:val="页脚 字符"/>
    <w:basedOn w:val="19"/>
    <w:link w:val="9"/>
    <w:qFormat/>
    <w:uiPriority w:val="99"/>
    <w:rPr>
      <w:kern w:val="2"/>
      <w:sz w:val="18"/>
      <w:szCs w:val="18"/>
    </w:rPr>
  </w:style>
  <w:style w:type="character" w:customStyle="1" w:styleId="35">
    <w:name w:val="标题 1 字符"/>
    <w:basedOn w:val="19"/>
    <w:link w:val="2"/>
    <w:qFormat/>
    <w:uiPriority w:val="0"/>
    <w:rPr>
      <w:b/>
      <w:bCs/>
      <w:kern w:val="44"/>
      <w:sz w:val="44"/>
      <w:szCs w:val="44"/>
    </w:rPr>
  </w:style>
  <w:style w:type="paragraph" w:customStyle="1" w:styleId="36">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7">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8171</Words>
  <Characters>8455</Characters>
  <Lines>72</Lines>
  <Paragraphs>20</Paragraphs>
  <TotalTime>83</TotalTime>
  <ScaleCrop>false</ScaleCrop>
  <LinksUpToDate>false</LinksUpToDate>
  <CharactersWithSpaces>9507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2026-07-20T10:24:55Z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7D8092536E374267A301A6E6A7DFCA25_13</vt:lpwstr>
  </property>
  <property fmtid="{D5CDD505-2E9C-101B-9397-08002B2CF9AE}" pid="4" name="KSOTemplateDocerSaveRecord">
    <vt:lpwstr>eyJoZGlkIjoiY2U3YTBmYzk4NzhjZDM0YzBmOTlmYTljMGJmM2ZkNjUiLCJ1c2VySWQiOiI2OTY3MDAyODYifQ==</vt:lpwstr>
  </property>
</Properties>
</file>