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7</w:t>
      </w:r>
    </w:p>
    <w:p w14:paraId="15731D69">
      <w:pPr>
        <w:adjustRightInd w:val="0"/>
        <w:snapToGrid w:val="0"/>
        <w:spacing w:line="300" w:lineRule="auto"/>
        <w:jc w:val="center"/>
        <w:rPr>
          <w:rFonts w:ascii="仿宋_GB2312" w:hAnsi="仿宋_GB2312" w:eastAsia="仿宋_GB2312"/>
          <w:snapToGrid w:val="0"/>
          <w:sz w:val="32"/>
          <w:u w:val="single"/>
        </w:rPr>
      </w:pPr>
    </w:p>
    <w:p w14:paraId="548F4E3C">
      <w:pPr>
        <w:jc w:val="center"/>
        <w:rPr>
          <w:rFonts w:hint="eastAsia" w:ascii="仿宋_GB2312" w:hAnsi="仿宋_GB2312" w:eastAsia="仿宋_GB2312"/>
          <w:snapToGrid w:val="0"/>
          <w:sz w:val="48"/>
          <w:szCs w:val="48"/>
          <w:lang w:val="en-US" w:eastAsia="zh-CN"/>
        </w:rPr>
      </w:pPr>
      <w:r>
        <w:rPr>
          <w:rFonts w:hint="eastAsia" w:ascii="仿宋_GB2312" w:hAnsi="仿宋_GB2312" w:eastAsia="仿宋_GB2312"/>
          <w:snapToGrid w:val="0"/>
          <w:sz w:val="48"/>
          <w:szCs w:val="48"/>
        </w:rPr>
        <w:t>南京大学后勤服务集团</w:t>
      </w:r>
      <w:r>
        <w:rPr>
          <w:rFonts w:hint="eastAsia" w:ascii="仿宋_GB2312" w:hAnsi="仿宋_GB2312" w:eastAsia="仿宋_GB2312"/>
          <w:snapToGrid w:val="0"/>
          <w:sz w:val="48"/>
          <w:szCs w:val="48"/>
          <w:lang w:val="en-US" w:eastAsia="zh-CN"/>
        </w:rPr>
        <w:t>员工更衣柜</w:t>
      </w: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napToGrid w:val="0"/>
          <w:sz w:val="48"/>
          <w:szCs w:val="48"/>
        </w:rPr>
        <w:t>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6</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w:t>
            </w:r>
            <w:r>
              <w:rPr>
                <w:rFonts w:hint="eastAsia" w:ascii="仿宋_GB2312" w:hAnsi="仿宋_GB2312" w:eastAsia="仿宋_GB2312"/>
                <w:snapToGrid w:val="0"/>
                <w:sz w:val="28"/>
                <w:szCs w:val="28"/>
                <w:lang w:val="en-US" w:eastAsia="zh-CN"/>
              </w:rPr>
              <w:t>员工更衣柜</w:t>
            </w:r>
            <w:r>
              <w:rPr>
                <w:rFonts w:hint="eastAsia" w:ascii="仿宋_GB2312" w:hAnsi="仿宋_GB2312" w:eastAsia="仿宋_GB2312"/>
                <w:snapToGrid w:val="0"/>
                <w:sz w:val="28"/>
                <w:szCs w:val="28"/>
              </w:rPr>
              <w:t>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2"/>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w:t>
            </w:r>
            <w:r>
              <w:rPr>
                <w:rFonts w:hint="eastAsia" w:ascii="仿宋_GB2312" w:hAnsi="仿宋_GB2312" w:eastAsia="仿宋_GB2312"/>
                <w:snapToGrid w:val="0"/>
                <w:sz w:val="28"/>
                <w:szCs w:val="28"/>
                <w:lang w:val="en-US" w:eastAsia="zh-CN"/>
              </w:rPr>
              <w:t>员工更衣柜</w:t>
            </w:r>
            <w:r>
              <w:rPr>
                <w:rFonts w:hint="eastAsia" w:ascii="仿宋_GB2312" w:hAnsi="仿宋_GB2312" w:eastAsia="仿宋_GB2312"/>
                <w:snapToGrid w:val="0"/>
                <w:sz w:val="28"/>
                <w:szCs w:val="28"/>
              </w:rPr>
              <w:t>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7</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赵</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025-89681663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13913892903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29400.00</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w:t>
            </w:r>
            <w:r>
              <w:rPr>
                <w:rFonts w:hint="eastAsia" w:ascii="仿宋_GB2312" w:hAnsi="仿宋_GB2312" w:eastAsia="仿宋_GB2312"/>
                <w:color w:val="auto"/>
                <w:sz w:val="28"/>
                <w:szCs w:val="28"/>
              </w:rPr>
              <w:t>20</w:t>
            </w:r>
            <w:r>
              <w:rPr>
                <w:rFonts w:hint="eastAsia" w:ascii="仿宋_GB2312" w:hAnsi="仿宋_GB2312" w:eastAsia="仿宋_GB2312"/>
                <w:color w:val="auto"/>
                <w:sz w:val="28"/>
                <w:szCs w:val="28"/>
                <w:lang w:val="en-US" w:eastAsia="zh-CN"/>
              </w:rPr>
              <w:t>26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17</w:t>
            </w:r>
            <w:r>
              <w:rPr>
                <w:rFonts w:hint="eastAsia" w:ascii="仿宋_GB2312" w:hAnsi="仿宋_GB2312" w:eastAsia="仿宋_GB2312"/>
                <w:color w:val="auto"/>
                <w:sz w:val="28"/>
                <w:szCs w:val="28"/>
              </w:rPr>
              <w:t>日1</w:t>
            </w:r>
            <w:r>
              <w:rPr>
                <w:rFonts w:hint="eastAsia" w:ascii="仿宋_GB2312" w:hAnsi="仿宋_GB2312" w:eastAsia="仿宋_GB2312"/>
                <w:color w:val="auto"/>
                <w:sz w:val="28"/>
                <w:szCs w:val="28"/>
                <w:lang w:val="en-US" w:eastAsia="zh-CN"/>
              </w:rPr>
              <w:t>7</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593513308</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hint="default" w:ascii="仿宋_GB2312" w:hAnsi="仿宋_GB2312" w:eastAsia="仿宋_GB2312"/>
                <w:sz w:val="28"/>
                <w:szCs w:val="28"/>
                <w:lang w:val="en-US" w:eastAsia="zh-CN"/>
              </w:rPr>
            </w:pPr>
            <w:r>
              <w:rPr>
                <w:rFonts w:hint="eastAsia" w:ascii="仿宋_GB2312" w:hAnsi="仿宋_GB2312" w:eastAsia="仿宋_GB2312"/>
                <w:sz w:val="28"/>
                <w:szCs w:val="28"/>
              </w:rPr>
              <w:t>响应文件</w:t>
            </w:r>
            <w:r>
              <w:rPr>
                <w:rFonts w:hint="eastAsia" w:ascii="仿宋_GB2312" w:hAnsi="仿宋_GB2312" w:eastAsia="仿宋_GB2312"/>
                <w:sz w:val="28"/>
                <w:szCs w:val="28"/>
                <w:lang w:val="en-US" w:eastAsia="zh-CN"/>
              </w:rPr>
              <w:t>及样板</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auto"/>
                <w:sz w:val="28"/>
                <w:szCs w:val="28"/>
              </w:rPr>
              <w:t>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25</w:t>
            </w:r>
            <w:r>
              <w:rPr>
                <w:rFonts w:hint="eastAsia" w:ascii="仿宋_GB2312" w:hAnsi="仿宋_GB2312" w:eastAsia="仿宋_GB2312"/>
                <w:color w:val="auto"/>
                <w:sz w:val="28"/>
                <w:szCs w:val="28"/>
              </w:rPr>
              <w:t>日</w:t>
            </w:r>
            <w:r>
              <w:rPr>
                <w:rFonts w:hint="eastAsia" w:ascii="仿宋_GB2312" w:hAnsi="仿宋_GB2312" w:eastAsia="仿宋_GB2312"/>
                <w:sz w:val="28"/>
                <w:szCs w:val="28"/>
              </w:rPr>
              <w:t>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2"/>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2"/>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配送方案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质保期、售后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6"/>
        <w:tblW w:w="499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8"/>
        <w:gridCol w:w="5686"/>
        <w:gridCol w:w="879"/>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3"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5"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50</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50</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b/>
                <w:bCs/>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50</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492" w:hRule="atLeast"/>
          <w:jc w:val="center"/>
        </w:trPr>
        <w:tc>
          <w:tcPr>
            <w:tcW w:w="428" w:type="pc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5" w:type="pc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15</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9" w:type="pct"/>
            <w:tcBorders>
              <w:top w:val="single" w:color="auto" w:sz="4" w:space="0"/>
              <w:left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rPr>
            </w:pPr>
            <w:r>
              <w:rPr>
                <w:rFonts w:hint="eastAsia" w:ascii="仿宋" w:hAnsi="仿宋" w:eastAsia="仿宋" w:cs="仿宋"/>
                <w:sz w:val="24"/>
                <w:szCs w:val="24"/>
              </w:rPr>
              <w:t>其他非重要参数和商务条款负偏离的，则每项扣2分。缺项漏项视为负偏离。</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eastAsia"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15分</w:t>
            </w:r>
          </w:p>
          <w:p w14:paraId="208A9EA2">
            <w:pPr>
              <w:snapToGrid w:val="0"/>
              <w:spacing w:line="288" w:lineRule="auto"/>
              <w:jc w:val="center"/>
              <w:rPr>
                <w:rFonts w:hint="eastAsia" w:ascii="仿宋" w:hAnsi="仿宋" w:eastAsia="仿宋" w:cs="仿宋"/>
                <w:bCs/>
                <w:kern w:val="0"/>
                <w:sz w:val="24"/>
                <w:szCs w:val="24"/>
                <w:lang w:val="en-US" w:eastAsia="zh-CN" w:bidi="ar-SA"/>
              </w:rPr>
            </w:pP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44"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5"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售后</w:t>
            </w:r>
            <w:r>
              <w:rPr>
                <w:rFonts w:hint="eastAsia" w:ascii="仿宋" w:hAnsi="仿宋" w:eastAsia="仿宋" w:cs="仿宋"/>
                <w:color w:val="000000"/>
                <w:sz w:val="24"/>
              </w:rPr>
              <w:t>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9</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096809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由评委会根据供应商提供的整体服务方案、实施流程、保障措施进行综合评审：</w:t>
            </w:r>
          </w:p>
          <w:p w14:paraId="355C9A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服务方案完整详实，全面包含场地配送、人工搬运、现场</w:t>
            </w:r>
            <w:r>
              <w:rPr>
                <w:rFonts w:hint="eastAsia" w:ascii="仿宋" w:hAnsi="仿宋" w:eastAsia="仿宋" w:cs="仿宋"/>
                <w:color w:val="auto"/>
                <w:sz w:val="24"/>
                <w:szCs w:val="24"/>
                <w:highlight w:val="none"/>
                <w:lang w:val="en-US" w:eastAsia="zh-CN"/>
              </w:rPr>
              <w:t>摆放</w:t>
            </w:r>
            <w:r>
              <w:rPr>
                <w:rFonts w:hint="eastAsia" w:ascii="仿宋" w:hAnsi="仿宋" w:eastAsia="仿宋" w:cs="仿宋"/>
                <w:color w:val="auto"/>
                <w:sz w:val="24"/>
                <w:szCs w:val="24"/>
                <w:highlight w:val="none"/>
                <w:lang w:val="en-US" w:eastAsia="en-US"/>
              </w:rPr>
              <w:t>、完工清理全流程</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服务响应及时</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应急处置等各类保障措施完善，贴合项目实际需求</w:t>
            </w:r>
            <w:r>
              <w:rPr>
                <w:rFonts w:hint="eastAsia" w:ascii="仿宋" w:hAnsi="仿宋" w:eastAsia="仿宋" w:cs="仿宋"/>
                <w:color w:val="auto"/>
                <w:sz w:val="24"/>
                <w:szCs w:val="24"/>
                <w:highlight w:val="none"/>
                <w:lang w:val="en-US" w:eastAsia="zh-CN"/>
              </w:rPr>
              <w:t>，得9分；</w:t>
            </w:r>
          </w:p>
          <w:p w14:paraId="11269F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服务方案较为完整，可覆盖项目主要服务环节</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各项保障措施基本满足采购要求，整体方案合理、具备可行性</w:t>
            </w:r>
            <w:r>
              <w:rPr>
                <w:rFonts w:hint="eastAsia" w:ascii="仿宋" w:hAnsi="仿宋" w:eastAsia="仿宋" w:cs="仿宋"/>
                <w:color w:val="auto"/>
                <w:sz w:val="24"/>
                <w:szCs w:val="24"/>
                <w:highlight w:val="none"/>
                <w:lang w:val="en-US" w:eastAsia="zh-CN"/>
              </w:rPr>
              <w:t>，得6分；</w:t>
            </w:r>
          </w:p>
          <w:p w14:paraId="4DE83B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en-US"/>
              </w:rPr>
              <w:t>服务方案内容简略，配备基础服务保障措施，能够保障项目基本实施</w:t>
            </w:r>
            <w:r>
              <w:rPr>
                <w:rFonts w:hint="eastAsia" w:ascii="仿宋" w:hAnsi="仿宋" w:eastAsia="仿宋" w:cs="仿宋"/>
                <w:color w:val="auto"/>
                <w:sz w:val="24"/>
                <w:szCs w:val="24"/>
                <w:highlight w:val="none"/>
                <w:lang w:val="en-US" w:eastAsia="zh-CN"/>
              </w:rPr>
              <w:t>，得3分；</w:t>
            </w:r>
          </w:p>
          <w:p w14:paraId="6E260C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服务方案内容简单，未结合本项目三校区场地实际情况编制，或未提供有效服务方案的，本项不得分。</w:t>
            </w:r>
          </w:p>
          <w:p w14:paraId="0A6FEE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b/>
                <w:bCs/>
                <w:color w:val="auto"/>
                <w:sz w:val="24"/>
                <w:szCs w:val="24"/>
                <w:highlight w:val="none"/>
                <w:lang w:val="en-US" w:eastAsia="en-US"/>
              </w:rPr>
              <w:t>（若响应文件中出现前后不一致的情况，以最</w:t>
            </w:r>
            <w:r>
              <w:rPr>
                <w:rFonts w:hint="eastAsia" w:ascii="仿宋" w:hAnsi="仿宋" w:eastAsia="仿宋" w:cs="仿宋"/>
                <w:b/>
                <w:bCs/>
                <w:color w:val="auto"/>
                <w:sz w:val="24"/>
                <w:szCs w:val="24"/>
                <w:highlight w:val="none"/>
                <w:lang w:val="en-US" w:eastAsia="zh-CN"/>
              </w:rPr>
              <w:t>低响应时间</w:t>
            </w:r>
            <w:r>
              <w:rPr>
                <w:rFonts w:hint="eastAsia" w:ascii="仿宋" w:hAnsi="仿宋" w:eastAsia="仿宋" w:cs="仿宋"/>
                <w:b/>
                <w:bCs/>
                <w:color w:val="auto"/>
                <w:sz w:val="24"/>
                <w:szCs w:val="24"/>
                <w:highlight w:val="none"/>
                <w:lang w:val="en-US" w:eastAsia="en-US"/>
              </w:rPr>
              <w:t>作为评分依据。）</w:t>
            </w:r>
          </w:p>
        </w:tc>
        <w:tc>
          <w:tcPr>
            <w:tcW w:w="516"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5"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5"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配送</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6</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9"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en-US"/>
              </w:rPr>
              <w:t>因本项目需要在合同期内</w:t>
            </w:r>
            <w:r>
              <w:rPr>
                <w:rFonts w:hint="eastAsia" w:ascii="仿宋" w:hAnsi="仿宋" w:eastAsia="仿宋" w:cs="仿宋"/>
                <w:b/>
                <w:bCs/>
                <w:color w:val="auto"/>
                <w:sz w:val="24"/>
                <w:szCs w:val="24"/>
                <w:highlight w:val="none"/>
                <w:lang w:val="en-US" w:eastAsia="zh-CN"/>
              </w:rPr>
              <w:t>多校区</w:t>
            </w:r>
            <w:r>
              <w:rPr>
                <w:rFonts w:hint="eastAsia" w:ascii="仿宋" w:hAnsi="仿宋" w:eastAsia="仿宋" w:cs="仿宋"/>
                <w:b/>
                <w:bCs/>
                <w:color w:val="auto"/>
                <w:sz w:val="24"/>
                <w:szCs w:val="24"/>
                <w:highlight w:val="none"/>
                <w:lang w:val="en-US" w:eastAsia="en-US"/>
              </w:rPr>
              <w:t>配送</w:t>
            </w:r>
            <w:r>
              <w:rPr>
                <w:rFonts w:hint="eastAsia" w:ascii="仿宋" w:hAnsi="仿宋" w:eastAsia="仿宋" w:cs="仿宋"/>
                <w:b/>
                <w:bCs/>
                <w:color w:val="auto"/>
                <w:sz w:val="24"/>
                <w:szCs w:val="24"/>
                <w:highlight w:val="none"/>
                <w:lang w:val="en-US" w:eastAsia="zh-CN"/>
              </w:rPr>
              <w:t>，由评委会对</w:t>
            </w:r>
            <w:r>
              <w:rPr>
                <w:rFonts w:hint="eastAsia" w:ascii="仿宋" w:hAnsi="仿宋" w:eastAsia="仿宋" w:cs="仿宋"/>
                <w:b/>
                <w:bCs/>
                <w:color w:val="auto"/>
                <w:sz w:val="24"/>
                <w:szCs w:val="24"/>
                <w:highlight w:val="none"/>
                <w:lang w:val="en-US" w:eastAsia="en-US"/>
              </w:rPr>
              <w:t>供应商</w:t>
            </w:r>
            <w:r>
              <w:rPr>
                <w:rFonts w:hint="eastAsia" w:ascii="仿宋" w:hAnsi="仿宋" w:eastAsia="仿宋" w:cs="仿宋"/>
                <w:b/>
                <w:bCs/>
                <w:color w:val="auto"/>
                <w:sz w:val="24"/>
                <w:szCs w:val="24"/>
                <w:highlight w:val="none"/>
                <w:lang w:val="en-US" w:eastAsia="zh-CN"/>
              </w:rPr>
              <w:t>提供的</w:t>
            </w:r>
            <w:r>
              <w:rPr>
                <w:rFonts w:hint="eastAsia" w:ascii="仿宋" w:hAnsi="仿宋" w:eastAsia="仿宋" w:cs="仿宋"/>
                <w:b/>
                <w:bCs/>
                <w:color w:val="auto"/>
                <w:sz w:val="24"/>
                <w:szCs w:val="24"/>
                <w:highlight w:val="none"/>
                <w:lang w:val="en-US" w:eastAsia="en-US"/>
              </w:rPr>
              <w:t>配送方案</w:t>
            </w:r>
            <w:r>
              <w:rPr>
                <w:rFonts w:hint="eastAsia" w:ascii="仿宋" w:hAnsi="仿宋" w:eastAsia="仿宋" w:cs="仿宋"/>
                <w:b/>
                <w:bCs/>
                <w:color w:val="auto"/>
                <w:sz w:val="24"/>
                <w:szCs w:val="24"/>
                <w:highlight w:val="none"/>
                <w:lang w:val="en-US" w:eastAsia="zh-CN"/>
              </w:rPr>
              <w:t>进行打分</w:t>
            </w:r>
            <w:r>
              <w:rPr>
                <w:rFonts w:hint="eastAsia" w:ascii="仿宋" w:hAnsi="仿宋" w:eastAsia="仿宋" w:cs="仿宋"/>
                <w:b/>
                <w:bCs/>
                <w:color w:val="auto"/>
                <w:sz w:val="24"/>
                <w:szCs w:val="24"/>
                <w:highlight w:val="none"/>
                <w:lang w:val="en-US" w:eastAsia="en-US"/>
              </w:rPr>
              <w:t>，包括但不限于配送人员、配送车辆、应急配送预案等</w:t>
            </w:r>
            <w:r>
              <w:rPr>
                <w:rFonts w:hint="eastAsia" w:ascii="仿宋" w:hAnsi="仿宋" w:eastAsia="仿宋" w:cs="仿宋"/>
                <w:b/>
                <w:bCs/>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en-US"/>
              </w:rPr>
              <w:t>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6"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55" w:hRule="atLeast"/>
          <w:jc w:val="center"/>
        </w:trPr>
        <w:tc>
          <w:tcPr>
            <w:tcW w:w="428" w:type="pct"/>
            <w:tcBorders>
              <w:left w:val="single" w:color="auto" w:sz="4" w:space="0"/>
              <w:right w:val="single" w:color="auto" w:sz="4" w:space="0"/>
            </w:tcBorders>
            <w:noWrap w:val="0"/>
            <w:vAlign w:val="center"/>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5" w:type="pct"/>
            <w:tcBorders>
              <w:left w:val="single" w:color="auto" w:sz="4" w:space="0"/>
              <w:right w:val="single" w:color="auto" w:sz="4" w:space="0"/>
            </w:tcBorders>
            <w:shd w:val="clear" w:color="auto" w:fill="auto"/>
            <w:noWrap w:val="0"/>
            <w:vAlign w:val="center"/>
          </w:tcPr>
          <w:p w14:paraId="6B2ADE99">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质量保障机制</w:t>
            </w:r>
          </w:p>
          <w:p w14:paraId="5341F937">
            <w:pPr>
              <w:snapToGrid w:val="0"/>
              <w:spacing w:line="288"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12</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39035A40">
            <w:pPr>
              <w:snapToGrid/>
              <w:spacing w:line="400" w:lineRule="exact"/>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由评委会根据供应商提供的产品质量保障机制进行综合评审：</w:t>
            </w:r>
          </w:p>
          <w:p w14:paraId="71A5C38A">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质量保障机制完善，供应商承诺所供更衣柜为正品</w:t>
            </w:r>
            <w:r>
              <w:rPr>
                <w:rFonts w:hint="eastAsia" w:ascii="仿宋" w:hAnsi="仿宋" w:eastAsia="仿宋" w:cs="仿宋"/>
                <w:color w:val="auto"/>
                <w:sz w:val="24"/>
                <w:szCs w:val="24"/>
                <w:lang w:val="en-US" w:eastAsia="zh-CN"/>
              </w:rPr>
              <w:t>供货</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产品</w:t>
            </w:r>
            <w:r>
              <w:rPr>
                <w:rFonts w:hint="eastAsia" w:ascii="仿宋" w:hAnsi="仿宋" w:eastAsia="仿宋" w:cs="仿宋"/>
                <w:color w:val="auto"/>
                <w:sz w:val="24"/>
                <w:szCs w:val="24"/>
                <w:lang w:val="en-US" w:eastAsia="zh-CN"/>
              </w:rPr>
              <w:t>质量合格、</w:t>
            </w:r>
            <w:r>
              <w:rPr>
                <w:rFonts w:hint="eastAsia" w:ascii="仿宋" w:hAnsi="仿宋" w:eastAsia="仿宋" w:cs="仿宋"/>
                <w:color w:val="auto"/>
                <w:sz w:val="24"/>
                <w:szCs w:val="24"/>
              </w:rPr>
              <w:t>安全合规，完全适配校园使用环境</w:t>
            </w:r>
            <w:r>
              <w:rPr>
                <w:rFonts w:hint="eastAsia" w:ascii="仿宋" w:hAnsi="仿宋" w:eastAsia="仿宋" w:cs="仿宋"/>
                <w:color w:val="auto"/>
                <w:sz w:val="24"/>
                <w:szCs w:val="24"/>
                <w:lang w:eastAsia="zh-CN"/>
              </w:rPr>
              <w:t>，</w:t>
            </w:r>
            <w:r>
              <w:rPr>
                <w:rFonts w:hint="eastAsia" w:ascii="仿宋" w:hAnsi="仿宋" w:eastAsia="仿宋" w:cs="仿宋"/>
                <w:b w:val="0"/>
                <w:bCs w:val="0"/>
                <w:color w:val="auto"/>
                <w:sz w:val="24"/>
                <w:lang w:val="en-US" w:eastAsia="zh-CN"/>
              </w:rPr>
              <w:t>提供承诺函、</w:t>
            </w:r>
            <w:r>
              <w:rPr>
                <w:rFonts w:hint="default" w:ascii="仿宋" w:hAnsi="仿宋" w:eastAsia="仿宋" w:cs="仿宋"/>
                <w:bCs/>
                <w:color w:val="auto"/>
                <w:kern w:val="2"/>
                <w:sz w:val="24"/>
                <w:szCs w:val="24"/>
              </w:rPr>
              <w:t>产品合格证等文件</w:t>
            </w:r>
            <w:r>
              <w:rPr>
                <w:rFonts w:hint="eastAsia" w:ascii="仿宋" w:hAnsi="仿宋" w:eastAsia="仿宋" w:cs="仿宋"/>
                <w:bCs/>
                <w:color w:val="auto"/>
                <w:kern w:val="2"/>
                <w:sz w:val="24"/>
                <w:szCs w:val="24"/>
                <w:lang w:eastAsia="zh-CN"/>
              </w:rPr>
              <w:t>，</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w:t>
            </w:r>
          </w:p>
          <w:p w14:paraId="7B460F6E">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质量保障机制</w:t>
            </w:r>
            <w:r>
              <w:rPr>
                <w:rFonts w:hint="eastAsia" w:ascii="仿宋" w:hAnsi="仿宋" w:eastAsia="仿宋" w:cs="仿宋"/>
                <w:color w:val="auto"/>
                <w:sz w:val="24"/>
                <w:szCs w:val="24"/>
                <w:lang w:val="en-US" w:eastAsia="zh-CN"/>
              </w:rPr>
              <w:t>较为</w:t>
            </w:r>
            <w:r>
              <w:rPr>
                <w:rFonts w:hint="eastAsia" w:ascii="仿宋" w:hAnsi="仿宋" w:eastAsia="仿宋" w:cs="仿宋"/>
                <w:color w:val="auto"/>
                <w:sz w:val="24"/>
                <w:szCs w:val="24"/>
              </w:rPr>
              <w:t>完善，供应商承诺正品供货及质保服务，具备基本退换货条款，得</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w:t>
            </w:r>
          </w:p>
          <w:p w14:paraId="5B94720F">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b w:val="0"/>
                <w:bCs w:val="0"/>
                <w:color w:val="auto"/>
                <w:sz w:val="24"/>
                <w:lang w:val="en-US" w:eastAsia="zh-CN"/>
              </w:rPr>
              <w:t>仅简单承诺产品质量，无完整质保、相关售后的，得4分；</w:t>
            </w:r>
          </w:p>
          <w:p w14:paraId="697E92F3">
            <w:pPr>
              <w:pStyle w:val="2"/>
              <w:spacing w:line="400" w:lineRule="exact"/>
              <w:rPr>
                <w:rFonts w:hint="eastAsia" w:ascii="仿宋" w:hAnsi="仿宋" w:eastAsia="仿宋" w:cs="仿宋"/>
                <w:color w:val="auto"/>
                <w:sz w:val="24"/>
                <w:lang w:eastAsia="zh-CN"/>
              </w:rPr>
            </w:pPr>
            <w:r>
              <w:rPr>
                <w:rFonts w:hint="eastAsia" w:ascii="仿宋" w:hAnsi="仿宋" w:eastAsia="仿宋" w:cs="仿宋"/>
                <w:color w:val="auto"/>
                <w:sz w:val="24"/>
                <w:szCs w:val="24"/>
              </w:rPr>
              <w:t>未提供任何质量保障相关资料及相关承诺的，本项不得分</w:t>
            </w:r>
            <w:r>
              <w:rPr>
                <w:rFonts w:hint="eastAsia" w:ascii="仿宋" w:hAnsi="仿宋" w:eastAsia="仿宋" w:cs="仿宋"/>
                <w:b w:val="0"/>
                <w:bCs w:val="0"/>
                <w:color w:val="auto"/>
                <w:sz w:val="24"/>
                <w:szCs w:val="24"/>
                <w:lang w:val="en-US" w:eastAsia="zh-CN"/>
              </w:rPr>
              <w:t>。</w:t>
            </w:r>
          </w:p>
        </w:tc>
        <w:tc>
          <w:tcPr>
            <w:tcW w:w="516" w:type="pct"/>
            <w:tcBorders>
              <w:top w:val="single" w:color="auto" w:sz="4" w:space="0"/>
              <w:left w:val="single" w:color="auto" w:sz="4" w:space="0"/>
              <w:right w:val="single" w:color="auto" w:sz="4" w:space="0"/>
            </w:tcBorders>
            <w:noWrap w:val="0"/>
            <w:vAlign w:val="center"/>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12</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65"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5"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9" w:type="pct"/>
            <w:tcBorders>
              <w:top w:val="single" w:color="auto" w:sz="4" w:space="0"/>
              <w:left w:val="single" w:color="auto" w:sz="4" w:space="0"/>
              <w:right w:val="single" w:color="auto" w:sz="4" w:space="0"/>
            </w:tcBorders>
            <w:noWrap w:val="0"/>
            <w:vAlign w:val="center"/>
          </w:tcPr>
          <w:p w14:paraId="2359D8E9">
            <w:pPr>
              <w:snapToGrid w:val="0"/>
              <w:spacing w:line="288" w:lineRule="auto"/>
              <w:jc w:val="left"/>
              <w:rPr>
                <w:rFonts w:hint="eastAsia" w:ascii="仿宋" w:hAnsi="仿宋" w:eastAsia="仿宋" w:cs="仿宋"/>
                <w:b/>
                <w:bCs/>
                <w:kern w:val="0"/>
                <w:sz w:val="24"/>
                <w:lang w:eastAsia="zh-CN"/>
              </w:rPr>
            </w:pPr>
            <w:r>
              <w:rPr>
                <w:rFonts w:hint="eastAsia" w:ascii="仿宋" w:hAnsi="仿宋" w:eastAsia="仿宋" w:cs="仿宋"/>
                <w:b/>
                <w:bCs/>
                <w:kern w:val="0"/>
                <w:sz w:val="24"/>
              </w:rPr>
              <w:t>根据响应人制作的响应文件是否有明显的错误，是否装订整齐，是否缺少材料，是否编制目录页码等进行评审</w:t>
            </w:r>
            <w:r>
              <w:rPr>
                <w:rFonts w:hint="eastAsia" w:ascii="仿宋" w:hAnsi="仿宋" w:eastAsia="仿宋" w:cs="仿宋"/>
                <w:b/>
                <w:bCs/>
                <w:kern w:val="0"/>
                <w:sz w:val="24"/>
                <w:lang w:eastAsia="zh-CN"/>
              </w:rPr>
              <w:t>。</w:t>
            </w:r>
          </w:p>
          <w:p w14:paraId="69485385">
            <w:pPr>
              <w:snapToGrid w:val="0"/>
              <w:spacing w:line="288" w:lineRule="auto"/>
              <w:jc w:val="left"/>
              <w:rPr>
                <w:rFonts w:hint="eastAsia" w:ascii="仿宋" w:hAnsi="仿宋" w:eastAsia="仿宋" w:cs="仿宋"/>
                <w:kern w:val="0"/>
                <w:sz w:val="24"/>
              </w:rPr>
            </w:pPr>
            <w:r>
              <w:rPr>
                <w:rFonts w:hint="eastAsia" w:ascii="仿宋" w:hAnsi="仿宋" w:eastAsia="仿宋" w:cs="仿宋"/>
                <w:kern w:val="0"/>
                <w:sz w:val="24"/>
              </w:rPr>
              <w:t>优得3分，良得2分，中得1分，差得0分。</w:t>
            </w:r>
          </w:p>
        </w:tc>
        <w:tc>
          <w:tcPr>
            <w:tcW w:w="516"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55" w:hRule="atLeast"/>
          <w:jc w:val="center"/>
        </w:trPr>
        <w:tc>
          <w:tcPr>
            <w:tcW w:w="428" w:type="pct"/>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color w:val="FF0000"/>
                <w:sz w:val="24"/>
                <w:lang w:eastAsia="zh-CN"/>
              </w:rPr>
            </w:pPr>
            <w:r>
              <w:rPr>
                <w:rFonts w:hint="eastAsia" w:ascii="仿宋" w:hAnsi="仿宋" w:eastAsia="仿宋" w:cs="仿宋"/>
                <w:sz w:val="24"/>
                <w:lang w:val="en-US" w:eastAsia="zh-CN"/>
              </w:rPr>
              <w:t>7</w:t>
            </w:r>
          </w:p>
        </w:tc>
        <w:tc>
          <w:tcPr>
            <w:tcW w:w="715" w:type="pct"/>
            <w:tcBorders>
              <w:left w:val="single" w:color="auto" w:sz="4" w:space="0"/>
              <w:right w:val="single" w:color="auto" w:sz="4" w:space="0"/>
            </w:tcBorders>
            <w:noWrap w:val="0"/>
            <w:vAlign w:val="center"/>
          </w:tcPr>
          <w:p w14:paraId="04008896">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4F94AFE0">
            <w:pPr>
              <w:snapToGrid w:val="0"/>
              <w:spacing w:line="288" w:lineRule="auto"/>
              <w:jc w:val="center"/>
              <w:rPr>
                <w:rFonts w:hint="eastAsia" w:ascii="仿宋" w:hAnsi="仿宋" w:eastAsia="仿宋" w:cs="仿宋"/>
                <w:color w:val="FF0000"/>
                <w:sz w:val="24"/>
              </w:rPr>
            </w:pP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分）</w:t>
            </w:r>
          </w:p>
        </w:tc>
        <w:tc>
          <w:tcPr>
            <w:tcW w:w="3339" w:type="pct"/>
            <w:tcBorders>
              <w:top w:val="single" w:color="auto" w:sz="4" w:space="0"/>
              <w:left w:val="single" w:color="auto" w:sz="4" w:space="0"/>
              <w:right w:val="single" w:color="auto" w:sz="4" w:space="0"/>
            </w:tcBorders>
            <w:noWrap w:val="0"/>
            <w:vAlign w:val="center"/>
          </w:tcPr>
          <w:p w14:paraId="2BB05F49">
            <w:pPr>
              <w:spacing w:line="400" w:lineRule="exact"/>
              <w:jc w:val="left"/>
              <w:rPr>
                <w:rFonts w:hint="eastAsia" w:ascii="仿宋" w:hAnsi="仿宋" w:eastAsia="仿宋" w:cs="仿宋"/>
                <w:color w:val="FF0000"/>
                <w:kern w:val="0"/>
                <w:sz w:val="24"/>
              </w:rPr>
            </w:pPr>
            <w:r>
              <w:rPr>
                <w:rFonts w:hint="eastAsia" w:ascii="仿宋" w:hAnsi="仿宋" w:eastAsia="仿宋" w:cs="仿宋"/>
                <w:sz w:val="24"/>
              </w:rPr>
              <w:t>响应人提供自</w:t>
            </w:r>
            <w:r>
              <w:rPr>
                <w:rFonts w:hint="eastAsia" w:ascii="仿宋" w:hAnsi="仿宋" w:eastAsia="仿宋" w:cs="仿宋"/>
                <w:color w:val="000000" w:themeColor="text1"/>
                <w:sz w:val="24"/>
                <w14:textFill>
                  <w14:solidFill>
                    <w14:schemeClr w14:val="tx1"/>
                  </w14:solidFill>
                </w14:textFill>
              </w:rPr>
              <w:t>202</w:t>
            </w: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月1日</w:t>
            </w:r>
            <w:r>
              <w:rPr>
                <w:rFonts w:hint="eastAsia" w:ascii="仿宋" w:hAnsi="仿宋" w:eastAsia="仿宋" w:cs="仿宋"/>
                <w:sz w:val="24"/>
              </w:rPr>
              <w:t>以来承担过类似项目业绩证明材料，每提供一份有效业绩证明材料得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5</w:t>
            </w:r>
            <w:r>
              <w:rPr>
                <w:rFonts w:hint="eastAsia" w:ascii="仿宋" w:hAnsi="仿宋" w:eastAsia="仿宋" w:cs="仿宋"/>
                <w:sz w:val="24"/>
              </w:rPr>
              <w:t>分。</w:t>
            </w:r>
            <w:r>
              <w:rPr>
                <w:rFonts w:hint="eastAsia" w:ascii="仿宋" w:hAnsi="仿宋" w:eastAsia="仿宋" w:cs="仿宋"/>
                <w:sz w:val="24"/>
                <w:szCs w:val="24"/>
              </w:rPr>
              <w:t>（此项业绩分同一采购人不可兼得，时间以合同签订日期为准</w:t>
            </w:r>
            <w:r>
              <w:rPr>
                <w:rFonts w:hint="eastAsia" w:ascii="仿宋" w:hAnsi="仿宋" w:eastAsia="仿宋" w:cs="仿宋"/>
                <w:sz w:val="24"/>
                <w:szCs w:val="24"/>
                <w:lang w:eastAsia="zh-CN"/>
              </w:rPr>
              <w:t>；</w:t>
            </w:r>
            <w:r>
              <w:rPr>
                <w:rFonts w:hint="eastAsia" w:ascii="仿宋" w:hAnsi="仿宋" w:eastAsia="仿宋" w:cs="仿宋"/>
                <w:sz w:val="24"/>
                <w:szCs w:val="24"/>
              </w:rPr>
              <w:t>合同至少包括合同的甲乙双方，合同详细标的和双方签章及生效时间</w:t>
            </w:r>
            <w:r>
              <w:rPr>
                <w:rFonts w:hint="eastAsia" w:ascii="仿宋" w:hAnsi="仿宋" w:eastAsia="仿宋" w:cs="仿宋"/>
                <w:sz w:val="24"/>
                <w:szCs w:val="24"/>
                <w:lang w:eastAsia="zh-CN"/>
              </w:rPr>
              <w:t>，</w:t>
            </w:r>
            <w:r>
              <w:rPr>
                <w:rFonts w:hint="eastAsia" w:ascii="仿宋" w:hAnsi="仿宋" w:eastAsia="仿宋" w:cs="仿宋"/>
                <w:sz w:val="24"/>
                <w:szCs w:val="24"/>
              </w:rPr>
              <w:t>原件备查）。</w:t>
            </w:r>
          </w:p>
        </w:tc>
        <w:tc>
          <w:tcPr>
            <w:tcW w:w="516" w:type="pct"/>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分</w:t>
            </w:r>
          </w:p>
        </w:tc>
      </w:tr>
    </w:tbl>
    <w:p w14:paraId="56A36441">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2"/>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2"/>
        <w:rPr>
          <w:rFonts w:hint="eastAsia" w:ascii="仿宋_GB2312" w:hAnsi="仿宋_GB2312" w:eastAsia="仿宋_GB2312"/>
          <w:bCs/>
          <w:sz w:val="24"/>
          <w:szCs w:val="28"/>
        </w:rPr>
      </w:pPr>
    </w:p>
    <w:p w14:paraId="038D41F1">
      <w:pPr>
        <w:pStyle w:val="2"/>
        <w:rPr>
          <w:rFonts w:hint="eastAsia" w:ascii="仿宋_GB2312" w:hAnsi="仿宋_GB2312" w:eastAsia="仿宋_GB2312"/>
          <w:bCs/>
          <w:sz w:val="24"/>
          <w:szCs w:val="28"/>
        </w:rPr>
      </w:pPr>
    </w:p>
    <w:p w14:paraId="412127FB">
      <w:pPr>
        <w:pStyle w:val="2"/>
        <w:rPr>
          <w:rFonts w:hint="eastAsia" w:ascii="仿宋_GB2312" w:hAnsi="仿宋_GB2312" w:eastAsia="仿宋_GB2312"/>
          <w:bCs/>
          <w:sz w:val="24"/>
          <w:szCs w:val="28"/>
        </w:rPr>
      </w:pPr>
    </w:p>
    <w:p w14:paraId="0C90AF3A">
      <w:pPr>
        <w:pStyle w:val="2"/>
        <w:rPr>
          <w:rFonts w:hint="eastAsia" w:ascii="仿宋_GB2312" w:hAnsi="仿宋_GB2312" w:eastAsia="仿宋_GB2312"/>
          <w:bCs/>
          <w:sz w:val="24"/>
          <w:szCs w:val="28"/>
        </w:rPr>
      </w:pPr>
    </w:p>
    <w:p w14:paraId="63C04C6D">
      <w:pPr>
        <w:pStyle w:val="2"/>
        <w:rPr>
          <w:rFonts w:hint="eastAsia" w:ascii="仿宋_GB2312" w:hAnsi="仿宋_GB2312" w:eastAsia="仿宋_GB2312"/>
          <w:bCs/>
          <w:sz w:val="24"/>
          <w:szCs w:val="28"/>
        </w:rPr>
      </w:pPr>
    </w:p>
    <w:p w14:paraId="2700C145">
      <w:pPr>
        <w:pStyle w:val="2"/>
        <w:rPr>
          <w:rFonts w:hint="eastAsia" w:ascii="仿宋_GB2312" w:hAnsi="仿宋_GB2312" w:eastAsia="仿宋_GB2312"/>
          <w:bCs/>
          <w:sz w:val="24"/>
          <w:szCs w:val="28"/>
        </w:rPr>
      </w:pPr>
    </w:p>
    <w:p w14:paraId="626A96E3">
      <w:pPr>
        <w:pStyle w:val="2"/>
        <w:rPr>
          <w:rFonts w:hint="eastAsia" w:ascii="仿宋_GB2312" w:hAnsi="仿宋_GB2312" w:eastAsia="仿宋_GB2312"/>
          <w:bCs/>
          <w:sz w:val="24"/>
          <w:szCs w:val="28"/>
        </w:rPr>
      </w:pPr>
    </w:p>
    <w:p w14:paraId="25D13121">
      <w:pPr>
        <w:pStyle w:val="2"/>
        <w:rPr>
          <w:rFonts w:hint="eastAsia" w:ascii="仿宋_GB2312" w:hAnsi="仿宋_GB2312" w:eastAsia="仿宋_GB2312"/>
          <w:bCs/>
          <w:sz w:val="24"/>
          <w:szCs w:val="28"/>
        </w:rPr>
      </w:pPr>
    </w:p>
    <w:p w14:paraId="66B8CD4B">
      <w:pPr>
        <w:pStyle w:val="2"/>
        <w:rPr>
          <w:rFonts w:hint="eastAsia" w:ascii="仿宋_GB2312" w:hAnsi="仿宋_GB2312" w:eastAsia="仿宋_GB2312"/>
          <w:bCs/>
          <w:sz w:val="24"/>
          <w:szCs w:val="28"/>
        </w:rPr>
      </w:pPr>
    </w:p>
    <w:p w14:paraId="73A72F15">
      <w:pPr>
        <w:pStyle w:val="2"/>
        <w:rPr>
          <w:rFonts w:hint="eastAsia" w:ascii="仿宋_GB2312" w:hAnsi="仿宋_GB2312" w:eastAsia="仿宋_GB2312"/>
          <w:bCs/>
          <w:sz w:val="24"/>
          <w:szCs w:val="28"/>
        </w:rPr>
      </w:pPr>
    </w:p>
    <w:p w14:paraId="44E7368B">
      <w:pPr>
        <w:pStyle w:val="2"/>
        <w:rPr>
          <w:rFonts w:hint="eastAsia" w:ascii="仿宋_GB2312" w:hAnsi="仿宋_GB2312" w:eastAsia="仿宋_GB2312"/>
          <w:bCs/>
          <w:sz w:val="24"/>
          <w:szCs w:val="28"/>
        </w:rPr>
      </w:pPr>
    </w:p>
    <w:p w14:paraId="6AF9925F">
      <w:pPr>
        <w:pStyle w:val="2"/>
        <w:rPr>
          <w:rFonts w:hint="eastAsia" w:ascii="仿宋_GB2312" w:hAnsi="仿宋_GB2312" w:eastAsia="仿宋_GB2312"/>
          <w:bCs/>
          <w:sz w:val="24"/>
          <w:szCs w:val="28"/>
        </w:rPr>
      </w:pPr>
    </w:p>
    <w:p w14:paraId="253659E1">
      <w:pPr>
        <w:pStyle w:val="2"/>
        <w:rPr>
          <w:rFonts w:hint="eastAsia" w:ascii="仿宋_GB2312" w:hAnsi="仿宋_GB2312" w:eastAsia="仿宋_GB2312"/>
          <w:bCs/>
          <w:sz w:val="24"/>
          <w:szCs w:val="28"/>
        </w:rPr>
      </w:pPr>
    </w:p>
    <w:p w14:paraId="4FF884B7">
      <w:pPr>
        <w:pStyle w:val="2"/>
        <w:rPr>
          <w:rFonts w:hint="eastAsia" w:ascii="仿宋_GB2312" w:hAnsi="仿宋_GB2312" w:eastAsia="仿宋_GB2312"/>
          <w:bCs/>
          <w:sz w:val="24"/>
          <w:szCs w:val="28"/>
        </w:rPr>
      </w:pPr>
    </w:p>
    <w:p w14:paraId="1F53C15C">
      <w:pPr>
        <w:pStyle w:val="2"/>
        <w:rPr>
          <w:rFonts w:hint="eastAsia" w:ascii="仿宋_GB2312" w:hAnsi="仿宋_GB2312" w:eastAsia="仿宋_GB2312"/>
          <w:bCs/>
          <w:sz w:val="24"/>
          <w:szCs w:val="28"/>
        </w:rPr>
      </w:pPr>
    </w:p>
    <w:p w14:paraId="6AA3B68C">
      <w:pPr>
        <w:pStyle w:val="2"/>
        <w:rPr>
          <w:rFonts w:hint="eastAsia" w:ascii="仿宋_GB2312" w:hAnsi="仿宋_GB2312" w:eastAsia="仿宋_GB2312"/>
          <w:bCs/>
          <w:sz w:val="24"/>
          <w:szCs w:val="28"/>
        </w:rPr>
      </w:pPr>
    </w:p>
    <w:p w14:paraId="73AF0F90">
      <w:pPr>
        <w:pStyle w:val="2"/>
        <w:rPr>
          <w:rFonts w:hint="eastAsia" w:ascii="仿宋_GB2312" w:hAnsi="仿宋_GB2312" w:eastAsia="仿宋_GB2312"/>
          <w:bCs/>
          <w:sz w:val="24"/>
          <w:szCs w:val="28"/>
        </w:rPr>
      </w:pPr>
    </w:p>
    <w:p w14:paraId="50D2424A">
      <w:pPr>
        <w:pStyle w:val="2"/>
        <w:rPr>
          <w:rFonts w:hint="eastAsia" w:ascii="仿宋_GB2312" w:hAnsi="仿宋_GB2312" w:eastAsia="仿宋_GB2312"/>
          <w:bCs/>
          <w:sz w:val="24"/>
          <w:szCs w:val="28"/>
        </w:rPr>
      </w:pPr>
    </w:p>
    <w:p w14:paraId="1E030574">
      <w:pPr>
        <w:pStyle w:val="2"/>
        <w:rPr>
          <w:rFonts w:hint="eastAsia" w:ascii="仿宋_GB2312" w:hAnsi="仿宋_GB2312" w:eastAsia="仿宋_GB2312"/>
          <w:bCs/>
          <w:sz w:val="24"/>
          <w:szCs w:val="28"/>
        </w:rPr>
      </w:pPr>
    </w:p>
    <w:p w14:paraId="706793AF">
      <w:pPr>
        <w:pStyle w:val="2"/>
        <w:rPr>
          <w:rFonts w:hint="eastAsia" w:ascii="仿宋_GB2312" w:hAnsi="仿宋_GB2312" w:eastAsia="仿宋_GB2312"/>
          <w:bCs/>
          <w:sz w:val="24"/>
          <w:szCs w:val="28"/>
        </w:rPr>
      </w:pPr>
    </w:p>
    <w:p w14:paraId="5E5A3143">
      <w:pPr>
        <w:pStyle w:val="2"/>
        <w:rPr>
          <w:rFonts w:hint="eastAsia" w:ascii="仿宋_GB2312" w:hAnsi="仿宋_GB2312" w:eastAsia="仿宋_GB2312"/>
          <w:bCs/>
          <w:sz w:val="24"/>
          <w:szCs w:val="28"/>
        </w:rPr>
      </w:pPr>
    </w:p>
    <w:p w14:paraId="4535A234">
      <w:pPr>
        <w:pStyle w:val="2"/>
        <w:rPr>
          <w:rFonts w:hint="eastAsia" w:ascii="仿宋_GB2312" w:hAnsi="仿宋_GB2312" w:eastAsia="仿宋_GB2312"/>
          <w:bCs/>
          <w:sz w:val="24"/>
          <w:szCs w:val="28"/>
        </w:rPr>
      </w:pPr>
    </w:p>
    <w:p w14:paraId="44876B17">
      <w:pPr>
        <w:pStyle w:val="2"/>
        <w:rPr>
          <w:rFonts w:hint="eastAsia" w:ascii="仿宋_GB2312" w:hAnsi="仿宋_GB2312" w:eastAsia="仿宋_GB2312"/>
          <w:bCs/>
          <w:sz w:val="24"/>
          <w:szCs w:val="28"/>
        </w:rPr>
      </w:pPr>
    </w:p>
    <w:p w14:paraId="3EA38B72">
      <w:pPr>
        <w:pStyle w:val="2"/>
        <w:rPr>
          <w:rFonts w:hint="eastAsia" w:ascii="仿宋_GB2312" w:hAnsi="仿宋_GB2312" w:eastAsia="仿宋_GB2312"/>
          <w:bCs/>
          <w:sz w:val="24"/>
          <w:szCs w:val="28"/>
        </w:rPr>
      </w:pPr>
    </w:p>
    <w:p w14:paraId="4E27F36C">
      <w:pPr>
        <w:pStyle w:val="2"/>
        <w:rPr>
          <w:rFonts w:hint="eastAsia" w:ascii="仿宋_GB2312" w:hAnsi="仿宋_GB2312" w:eastAsia="仿宋_GB2312"/>
          <w:bCs/>
          <w:sz w:val="24"/>
          <w:szCs w:val="28"/>
        </w:rPr>
      </w:pPr>
    </w:p>
    <w:p w14:paraId="26A868BD">
      <w:pPr>
        <w:pStyle w:val="2"/>
        <w:rPr>
          <w:rFonts w:hint="eastAsia" w:ascii="仿宋_GB2312" w:hAnsi="仿宋_GB2312" w:eastAsia="仿宋_GB2312"/>
          <w:bCs/>
          <w:sz w:val="24"/>
          <w:szCs w:val="28"/>
        </w:rPr>
      </w:pPr>
    </w:p>
    <w:p w14:paraId="731B83F2">
      <w:pPr>
        <w:pStyle w:val="2"/>
        <w:rPr>
          <w:rFonts w:hint="eastAsia" w:ascii="仿宋_GB2312" w:hAnsi="仿宋_GB2312" w:eastAsia="仿宋_GB2312"/>
          <w:bCs/>
          <w:sz w:val="24"/>
          <w:szCs w:val="28"/>
        </w:rPr>
      </w:pPr>
    </w:p>
    <w:p w14:paraId="659B4E45">
      <w:pPr>
        <w:pStyle w:val="2"/>
        <w:rPr>
          <w:rFonts w:hint="eastAsia" w:ascii="仿宋_GB2312" w:hAnsi="仿宋_GB2312" w:eastAsia="仿宋_GB2312"/>
          <w:bCs/>
          <w:sz w:val="24"/>
          <w:szCs w:val="28"/>
        </w:rPr>
      </w:pPr>
    </w:p>
    <w:p w14:paraId="7DEED62D">
      <w:pPr>
        <w:pStyle w:val="2"/>
        <w:rPr>
          <w:rFonts w:hint="eastAsia" w:ascii="仿宋_GB2312" w:hAnsi="仿宋_GB2312" w:eastAsia="仿宋_GB2312"/>
          <w:bCs/>
          <w:sz w:val="24"/>
          <w:szCs w:val="28"/>
        </w:rPr>
      </w:pPr>
    </w:p>
    <w:p w14:paraId="2E415C37">
      <w:pPr>
        <w:pStyle w:val="2"/>
        <w:rPr>
          <w:rFonts w:hint="eastAsia" w:ascii="仿宋_GB2312" w:hAnsi="仿宋_GB2312" w:eastAsia="仿宋_GB2312"/>
          <w:bCs/>
          <w:sz w:val="24"/>
          <w:szCs w:val="28"/>
        </w:rPr>
      </w:pPr>
    </w:p>
    <w:p w14:paraId="3159B53E">
      <w:pPr>
        <w:pStyle w:val="2"/>
        <w:rPr>
          <w:rFonts w:hint="eastAsia" w:ascii="仿宋_GB2312" w:hAnsi="仿宋_GB2312" w:eastAsia="仿宋_GB2312"/>
          <w:bCs/>
          <w:sz w:val="24"/>
          <w:szCs w:val="28"/>
        </w:rPr>
      </w:pPr>
    </w:p>
    <w:p w14:paraId="5F5F15D6">
      <w:pPr>
        <w:pStyle w:val="2"/>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sz w:val="24"/>
          <w:szCs w:val="28"/>
          <w:lang w:val="en-US" w:eastAsia="zh-CN"/>
        </w:rPr>
      </w:pP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校内联系人：马卓然</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8"/>
        <w:ind w:left="0" w:leftChars="0" w:firstLine="0" w:firstLineChars="0"/>
        <w:rPr>
          <w:color w:val="auto"/>
        </w:rPr>
      </w:pPr>
    </w:p>
    <w:p w14:paraId="06B6F150">
      <w:pPr>
        <w:widowControl/>
        <w:snapToGrid w:val="0"/>
        <w:spacing w:line="360"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69140896">
      <w:pPr>
        <w:spacing w:line="360" w:lineRule="auto"/>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本次为南京大学</w:t>
      </w:r>
      <w:r>
        <w:rPr>
          <w:rFonts w:hint="eastAsia" w:ascii="仿宋" w:hAnsi="仿宋" w:eastAsia="仿宋" w:cs="仿宋"/>
          <w:color w:val="000000" w:themeColor="text1"/>
          <w:sz w:val="24"/>
          <w:lang w:val="en-US" w:eastAsia="zh-CN"/>
          <w14:textFill>
            <w14:solidFill>
              <w14:schemeClr w14:val="tx1"/>
            </w14:solidFill>
          </w14:textFill>
        </w:rPr>
        <w:t>物业中心、运输中心、膳食中心、西苑会议中心、国际会议中心</w:t>
      </w:r>
      <w:r>
        <w:rPr>
          <w:rFonts w:hint="eastAsia" w:ascii="仿宋" w:hAnsi="仿宋" w:eastAsia="仿宋" w:cs="仿宋"/>
          <w:color w:val="000000" w:themeColor="text1"/>
          <w:sz w:val="24"/>
          <w14:textFill>
            <w14:solidFill>
              <w14:schemeClr w14:val="tx1"/>
            </w14:solidFill>
          </w14:textFill>
        </w:rPr>
        <w:t>配置员工更衣柜，进一步优化后勤物资配置，完善一线</w:t>
      </w:r>
      <w:r>
        <w:rPr>
          <w:rFonts w:hint="eastAsia" w:ascii="仿宋" w:hAnsi="仿宋" w:eastAsia="仿宋" w:cs="仿宋"/>
          <w:color w:val="000000" w:themeColor="text1"/>
          <w:sz w:val="24"/>
          <w:lang w:val="en-US" w:eastAsia="zh-CN"/>
          <w14:textFill>
            <w14:solidFill>
              <w14:schemeClr w14:val="tx1"/>
            </w14:solidFill>
          </w14:textFill>
        </w:rPr>
        <w:t>员工</w:t>
      </w:r>
      <w:r>
        <w:rPr>
          <w:rFonts w:hint="eastAsia" w:ascii="仿宋" w:hAnsi="仿宋" w:eastAsia="仿宋" w:cs="仿宋"/>
          <w:color w:val="000000" w:themeColor="text1"/>
          <w:sz w:val="24"/>
          <w14:textFill>
            <w14:solidFill>
              <w14:schemeClr w14:val="tx1"/>
            </w14:solidFill>
          </w14:textFill>
        </w:rPr>
        <w:t>在岗配套设施，提升后勤保障水平</w:t>
      </w:r>
      <w:r>
        <w:rPr>
          <w:rFonts w:hint="eastAsia" w:ascii="仿宋" w:hAnsi="仿宋" w:eastAsia="仿宋" w:cs="仿宋"/>
          <w:color w:val="000000" w:themeColor="text1"/>
          <w:sz w:val="24"/>
          <w:lang w:eastAsia="zh-CN"/>
          <w14:textFill>
            <w14:solidFill>
              <w14:schemeClr w14:val="tx1"/>
            </w14:solidFill>
          </w14:textFill>
        </w:rPr>
        <w:t>。</w:t>
      </w:r>
    </w:p>
    <w:p w14:paraId="0359BE37">
      <w:pPr>
        <w:spacing w:line="360" w:lineRule="auto"/>
        <w:ind w:firstLine="480" w:firstLineChars="200"/>
        <w:rPr>
          <w:rFonts w:hint="eastAsia" w:ascii="仿宋_GB2312" w:hAnsi="仿宋_GB2312" w:eastAsia="仿宋_GB2312"/>
          <w:color w:val="000000" w:themeColor="text1"/>
          <w:sz w:val="24"/>
          <w:szCs w:val="28"/>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本项目确定供应商一家</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预算总金额为人民币29400元</w:t>
      </w:r>
      <w:r>
        <w:rPr>
          <w:rFonts w:hint="eastAsia" w:ascii="仿宋" w:hAnsi="仿宋" w:eastAsia="仿宋" w:cs="仿宋"/>
          <w:color w:val="000000" w:themeColor="text1"/>
          <w:sz w:val="24"/>
          <w14:textFill>
            <w14:solidFill>
              <w14:schemeClr w14:val="tx1"/>
            </w14:solidFill>
          </w14:textFill>
        </w:rPr>
        <w:t>。</w:t>
      </w:r>
    </w:p>
    <w:p w14:paraId="5436E36C">
      <w:pPr>
        <w:widowControl/>
        <w:snapToGrid w:val="0"/>
        <w:spacing w:line="360"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6"/>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4148"/>
        <w:gridCol w:w="975"/>
        <w:gridCol w:w="1684"/>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414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975"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68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最高单价限价（万元）</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w:t>
            </w:r>
          </w:p>
        </w:tc>
        <w:tc>
          <w:tcPr>
            <w:tcW w:w="1203"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更衣柜</w:t>
            </w:r>
          </w:p>
        </w:tc>
        <w:tc>
          <w:tcPr>
            <w:tcW w:w="4148" w:type="dxa"/>
            <w:tcBorders>
              <w:top w:val="single" w:color="auto" w:sz="4" w:space="0"/>
              <w:left w:val="single" w:color="auto" w:sz="4" w:space="0"/>
              <w:bottom w:val="single" w:color="auto" w:sz="4" w:space="0"/>
              <w:right w:val="single" w:color="auto" w:sz="4" w:space="0"/>
            </w:tcBorders>
            <w:vAlign w:val="center"/>
          </w:tcPr>
          <w:p w14:paraId="2EE47216">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1.</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外形尺寸：高 1800mm × 宽 850mm × 深 420mm</w:t>
            </w:r>
          </w:p>
          <w:p w14:paraId="05835A77">
            <w:pPr>
              <w:keepNext w:val="0"/>
              <w:keepLines w:val="0"/>
              <w:widowControl/>
              <w:suppressLineNumbers w:val="0"/>
              <w:spacing w:line="360" w:lineRule="auto"/>
              <w:jc w:val="left"/>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2.</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门数配置：4门/组，结构布局规整，满足日常存放使用</w:t>
            </w:r>
          </w:p>
          <w:p w14:paraId="559323D3">
            <w:pPr>
              <w:keepNext w:val="0"/>
              <w:keepLines w:val="0"/>
              <w:widowControl/>
              <w:suppressLineNumbers w:val="0"/>
              <w:spacing w:line="360" w:lineRule="auto"/>
              <w:jc w:val="left"/>
              <w:rPr>
                <w:rFonts w:hint="eastAsia" w:ascii="仿宋" w:hAnsi="仿宋" w:eastAsia="仿宋" w:cs="仿宋"/>
                <w:b/>
                <w:bCs/>
                <w:kern w:val="0"/>
                <w:sz w:val="21"/>
                <w:szCs w:val="21"/>
                <w:lang w:eastAsia="zh-CN" w:bidi="ar"/>
              </w:rPr>
            </w:pPr>
            <w:r>
              <w:rPr>
                <w:rFonts w:hint="eastAsia" w:ascii="仿宋" w:hAnsi="仿宋" w:eastAsia="仿宋" w:cs="仿宋"/>
                <w:b w:val="0"/>
                <w:bCs w:val="0"/>
                <w:kern w:val="0"/>
                <w:sz w:val="21"/>
                <w:szCs w:val="21"/>
                <w:lang w:val="en-US" w:eastAsia="zh-CN" w:bidi="ar"/>
              </w:rPr>
              <w:t>3.</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主体材质：</w:t>
            </w:r>
            <w:r>
              <w:rPr>
                <w:rFonts w:hint="eastAsia" w:ascii="仿宋" w:hAnsi="仿宋" w:eastAsia="仿宋" w:cs="仿宋"/>
                <w:kern w:val="0"/>
                <w:sz w:val="21"/>
                <w:szCs w:val="21"/>
                <w:lang w:val="en-US" w:eastAsia="zh-CN" w:bidi="ar"/>
              </w:rPr>
              <w:t>采用优质冷轧钢板制作，材质性能稳定，具备良好防潮性能，可适配室内长期使用环境（</w:t>
            </w:r>
            <w:r>
              <w:rPr>
                <w:rStyle w:val="19"/>
                <w:rFonts w:hint="eastAsia" w:ascii="仿宋" w:hAnsi="仿宋" w:eastAsia="仿宋" w:cs="仿宋"/>
                <w:kern w:val="0"/>
                <w:sz w:val="21"/>
                <w:szCs w:val="21"/>
                <w:lang w:val="en-US" w:eastAsia="zh-CN" w:bidi="ar"/>
              </w:rPr>
              <w:t>供应商须提供材质样板1份、材质说明书/官方参数截图等有效证明材料。</w:t>
            </w:r>
            <w:r>
              <w:rPr>
                <w:rFonts w:hint="eastAsia" w:ascii="仿宋" w:hAnsi="仿宋" w:eastAsia="仿宋" w:cs="仿宋"/>
                <w:kern w:val="0"/>
                <w:sz w:val="21"/>
                <w:szCs w:val="21"/>
                <w:lang w:val="en-US" w:eastAsia="zh-CN" w:bidi="ar"/>
              </w:rPr>
              <w:t>）</w:t>
            </w:r>
          </w:p>
          <w:p w14:paraId="5CFFE595">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4.</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板材厚度：裸板厚度 ≥0.5mm</w:t>
            </w:r>
          </w:p>
          <w:p w14:paraId="5BC8A5B1">
            <w:pPr>
              <w:keepNext w:val="0"/>
              <w:keepLines w:val="0"/>
              <w:widowControl/>
              <w:suppressLineNumbers w:val="0"/>
              <w:spacing w:line="360" w:lineRule="auto"/>
              <w:jc w:val="left"/>
              <w:rPr>
                <w:rFonts w:hint="eastAsia" w:ascii="仿宋" w:hAnsi="仿宋" w:eastAsia="仿宋" w:cs="仿宋"/>
                <w:sz w:val="21"/>
                <w:szCs w:val="21"/>
              </w:rPr>
            </w:pPr>
            <w:r>
              <w:rPr>
                <w:rFonts w:hint="eastAsia" w:ascii="仿宋" w:hAnsi="仿宋" w:eastAsia="仿宋" w:cs="仿宋"/>
                <w:b w:val="0"/>
                <w:bCs w:val="0"/>
                <w:kern w:val="0"/>
                <w:sz w:val="21"/>
                <w:szCs w:val="21"/>
                <w:lang w:val="en-US" w:eastAsia="zh-CN" w:bidi="ar"/>
              </w:rPr>
              <w:t>5.</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表面处理工艺：</w:t>
            </w:r>
            <w:r>
              <w:rPr>
                <w:rFonts w:hint="eastAsia" w:ascii="仿宋" w:hAnsi="仿宋" w:eastAsia="仿宋" w:cs="仿宋"/>
                <w:kern w:val="0"/>
                <w:sz w:val="21"/>
                <w:szCs w:val="21"/>
                <w:lang w:val="en-US" w:eastAsia="zh-CN" w:bidi="ar"/>
              </w:rPr>
              <w:t>设备整体采用白色静电喷涂工艺，漆面均匀光滑、附着力强，耐磨耐刮，不易褪色、起皮</w:t>
            </w:r>
          </w:p>
          <w:p w14:paraId="7C6EDFC1">
            <w:pPr>
              <w:keepNext w:val="0"/>
              <w:keepLines w:val="0"/>
              <w:widowControl/>
              <w:suppressLineNumbers w:val="0"/>
              <w:spacing w:line="360" w:lineRule="auto"/>
              <w:jc w:val="left"/>
              <w:rPr>
                <w:rFonts w:hint="default"/>
                <w:lang w:val="en-US" w:eastAsia="zh-CN"/>
              </w:rPr>
            </w:pPr>
            <w:r>
              <w:rPr>
                <w:rFonts w:hint="eastAsia" w:ascii="仿宋" w:hAnsi="仿宋" w:eastAsia="仿宋" w:cs="仿宋"/>
                <w:kern w:val="0"/>
                <w:sz w:val="21"/>
                <w:szCs w:val="21"/>
                <w:lang w:val="en-US" w:eastAsia="zh-CN" w:bidi="ar"/>
              </w:rPr>
              <w:t>6.</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sz w:val="21"/>
                <w:szCs w:val="21"/>
              </w:rPr>
              <w:t>结构性能</w:t>
            </w:r>
            <w:r>
              <w:rPr>
                <w:rFonts w:hint="eastAsia" w:ascii="仿宋" w:hAnsi="仿宋" w:eastAsia="仿宋" w:cs="仿宋"/>
                <w:sz w:val="21"/>
                <w:szCs w:val="21"/>
                <w:lang w:val="en-US" w:eastAsia="zh-CN"/>
              </w:rPr>
              <w:t>要求</w:t>
            </w:r>
            <w:r>
              <w:rPr>
                <w:rFonts w:hint="eastAsia" w:ascii="仿宋" w:hAnsi="仿宋" w:eastAsia="仿宋" w:cs="仿宋"/>
                <w:sz w:val="21"/>
                <w:szCs w:val="21"/>
              </w:rPr>
              <w:t>：柜体结构稳固，柜门开合顺畅、闭合严实，无松动、晃动现象</w:t>
            </w:r>
            <w:r>
              <w:rPr>
                <w:rFonts w:hint="eastAsia" w:ascii="仿宋" w:hAnsi="仿宋" w:eastAsia="仿宋" w:cs="仿宋"/>
                <w:sz w:val="21"/>
                <w:szCs w:val="21"/>
                <w:lang w:eastAsia="zh-CN"/>
              </w:rPr>
              <w:t>。</w:t>
            </w:r>
          </w:p>
        </w:tc>
        <w:tc>
          <w:tcPr>
            <w:tcW w:w="975"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98组</w:t>
            </w:r>
          </w:p>
        </w:tc>
        <w:tc>
          <w:tcPr>
            <w:tcW w:w="1684"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0.03</w:t>
            </w:r>
          </w:p>
        </w:tc>
      </w:tr>
    </w:tbl>
    <w:p w14:paraId="057B4C31">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242E60D6">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的内容为实质性要求，供应商须逐条响应，有一项不满足即视为无效响应。</w:t>
      </w:r>
    </w:p>
    <w:p w14:paraId="52C4CB7C">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的内容为加分项/推荐性要求，供应商应积极满足。</w:t>
      </w:r>
    </w:p>
    <w:p w14:paraId="5A95BB1B">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本报价为最终全包价，包含货物、运输（含二次人工转运费）、税费等全部费用，采购方不再支付任何额外费用。</w:t>
      </w:r>
    </w:p>
    <w:p w14:paraId="0619F1CD">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12771950">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质保期：</w:t>
      </w:r>
      <w:r>
        <w:rPr>
          <w:rFonts w:hint="default" w:ascii="仿宋" w:hAnsi="仿宋" w:eastAsia="仿宋" w:cs="仿宋"/>
          <w:bCs/>
          <w:kern w:val="2"/>
          <w:sz w:val="24"/>
          <w:szCs w:val="24"/>
          <w:lang w:val="en-US" w:eastAsia="zh-CN" w:bidi="ar-SA"/>
        </w:rPr>
        <w:t>全柜整体质保期</w:t>
      </w:r>
      <w:r>
        <w:rPr>
          <w:rFonts w:hint="eastAsia" w:ascii="仿宋" w:hAnsi="仿宋" w:eastAsia="仿宋" w:cs="仿宋"/>
          <w:b w:val="0"/>
          <w:bCs/>
          <w:kern w:val="2"/>
          <w:sz w:val="24"/>
          <w:szCs w:val="24"/>
          <w:lang w:val="en-US" w:eastAsia="zh-CN"/>
        </w:rPr>
        <w:t>≥</w:t>
      </w:r>
      <w:r>
        <w:rPr>
          <w:rFonts w:hint="eastAsia" w:ascii="仿宋" w:hAnsi="仿宋" w:eastAsia="仿宋" w:cs="仿宋"/>
          <w:bCs/>
          <w:kern w:val="2"/>
          <w:sz w:val="24"/>
          <w:szCs w:val="24"/>
          <w:lang w:val="en-US" w:eastAsia="zh-CN" w:bidi="ar-SA"/>
        </w:rPr>
        <w:t>1</w:t>
      </w:r>
      <w:r>
        <w:rPr>
          <w:rFonts w:hint="default" w:ascii="仿宋" w:hAnsi="仿宋" w:eastAsia="仿宋" w:cs="仿宋"/>
          <w:bCs/>
          <w:kern w:val="2"/>
          <w:sz w:val="24"/>
          <w:szCs w:val="24"/>
          <w:lang w:val="en-US" w:eastAsia="zh-CN" w:bidi="ar-SA"/>
        </w:rPr>
        <w:t>年，五金锁具、柜体、漆面统一纳入质保范围。</w:t>
      </w:r>
    </w:p>
    <w:p w14:paraId="12515AF9">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bidi="ar-SA"/>
        </w:rPr>
        <w:t>接到故障报修后，</w:t>
      </w:r>
      <w:r>
        <w:rPr>
          <w:rFonts w:hint="eastAsia" w:ascii="仿宋" w:hAnsi="仿宋" w:eastAsia="仿宋" w:cs="仿宋"/>
          <w:bCs/>
          <w:kern w:val="2"/>
          <w:sz w:val="24"/>
          <w:szCs w:val="24"/>
          <w:lang w:val="en-US" w:eastAsia="zh-CN" w:bidi="ar-SA"/>
        </w:rPr>
        <w:t>2</w:t>
      </w:r>
      <w:r>
        <w:rPr>
          <w:rFonts w:hint="default" w:ascii="仿宋" w:hAnsi="仿宋" w:eastAsia="仿宋" w:cs="仿宋"/>
          <w:bCs/>
          <w:kern w:val="2"/>
          <w:sz w:val="24"/>
          <w:szCs w:val="24"/>
          <w:lang w:val="en-US" w:eastAsia="zh-CN" w:bidi="ar-SA"/>
        </w:rPr>
        <w:t>小时内响应，24小时内</w:t>
      </w:r>
      <w:r>
        <w:rPr>
          <w:rFonts w:hint="eastAsia" w:ascii="仿宋" w:hAnsi="仿宋" w:eastAsia="仿宋" w:cs="仿宋"/>
          <w:bCs/>
          <w:kern w:val="2"/>
          <w:sz w:val="24"/>
          <w:szCs w:val="24"/>
          <w:lang w:val="en-US" w:eastAsia="zh-CN" w:bidi="ar-SA"/>
        </w:rPr>
        <w:t>到场排查</w:t>
      </w:r>
      <w:r>
        <w:rPr>
          <w:rFonts w:hint="default" w:ascii="仿宋" w:hAnsi="仿宋" w:eastAsia="仿宋" w:cs="仿宋"/>
          <w:bCs/>
          <w:kern w:val="2"/>
          <w:sz w:val="24"/>
          <w:szCs w:val="24"/>
          <w:lang w:val="en-US" w:eastAsia="zh-CN" w:bidi="ar-SA"/>
        </w:rPr>
        <w:t>处理</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rPr>
        <w:t>全程免费维修、更换配件，确保不影响校区日常保洁工作开展。</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lang w:val="en-US" w:eastAsia="zh-CN"/>
        </w:rPr>
        <w:t>★交货时间：合同签订之日起</w:t>
      </w:r>
      <w:r>
        <w:rPr>
          <w:rFonts w:hint="default" w:ascii="仿宋" w:hAnsi="仿宋" w:eastAsia="仿宋" w:cs="仿宋"/>
          <w:bCs/>
          <w:color w:val="FF0000"/>
          <w:kern w:val="2"/>
          <w:sz w:val="24"/>
          <w:szCs w:val="24"/>
          <w:lang w:val="en-US" w:eastAsia="zh-CN"/>
        </w:rPr>
        <w:t xml:space="preserve"> </w:t>
      </w:r>
      <w:r>
        <w:rPr>
          <w:rFonts w:hint="default" w:ascii="仿宋" w:hAnsi="仿宋" w:eastAsia="仿宋" w:cs="仿宋"/>
          <w:bCs/>
          <w:color w:val="000000" w:themeColor="text1"/>
          <w:kern w:val="2"/>
          <w:sz w:val="24"/>
          <w:szCs w:val="24"/>
          <w:lang w:val="en-US" w:eastAsia="zh-CN"/>
          <w14:textFill>
            <w14:solidFill>
              <w14:schemeClr w14:val="tx1"/>
            </w14:solidFill>
          </w14:textFill>
        </w:rPr>
        <w:t>7 个</w:t>
      </w:r>
      <w:r>
        <w:rPr>
          <w:rFonts w:hint="default" w:ascii="仿宋" w:hAnsi="仿宋" w:eastAsia="仿宋" w:cs="仿宋"/>
          <w:bCs/>
          <w:kern w:val="2"/>
          <w:sz w:val="24"/>
          <w:szCs w:val="24"/>
          <w:lang w:val="en-US" w:eastAsia="zh-CN"/>
        </w:rPr>
        <w:t>日历日内，供方完成全部货物送达、现场就位等全部工作。</w:t>
      </w:r>
    </w:p>
    <w:p w14:paraId="516FF3C3">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点：南京大学</w:t>
      </w:r>
      <w:r>
        <w:rPr>
          <w:rFonts w:hint="eastAsia" w:ascii="仿宋" w:hAnsi="仿宋" w:eastAsia="仿宋" w:cs="仿宋"/>
          <w:bCs/>
          <w:color w:val="000000" w:themeColor="text1"/>
          <w:kern w:val="2"/>
          <w:sz w:val="24"/>
          <w:szCs w:val="24"/>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6749BAE2">
      <w:pPr>
        <w:pStyle w:val="2"/>
        <w:spacing w:line="360" w:lineRule="auto"/>
        <w:ind w:firstLine="480" w:firstLineChars="2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5279AE9F">
      <w:pPr>
        <w:pStyle w:val="2"/>
        <w:spacing w:line="360" w:lineRule="auto"/>
        <w:ind w:firstLine="480" w:firstLineChars="200"/>
        <w:rPr>
          <w:rFonts w:hint="default" w:ascii="仿宋" w:hAnsi="仿宋" w:eastAsia="仿宋" w:cs="仿宋"/>
          <w:b w:val="0"/>
          <w:bCs/>
          <w:color w:val="auto"/>
          <w:sz w:val="24"/>
          <w:szCs w:val="24"/>
          <w:highlight w:val="none"/>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2、★</w:t>
      </w:r>
      <w:r>
        <w:rPr>
          <w:rFonts w:hint="default" w:ascii="仿宋" w:hAnsi="仿宋" w:eastAsia="仿宋"/>
          <w:b/>
          <w:bCs w:val="0"/>
          <w:sz w:val="24"/>
        </w:rPr>
        <w:t>验收</w:t>
      </w:r>
      <w:r>
        <w:rPr>
          <w:rFonts w:hint="default" w:ascii="仿宋" w:hAnsi="仿宋" w:eastAsia="仿宋"/>
          <w:b/>
          <w:bCs w:val="0"/>
          <w:sz w:val="24"/>
          <w:lang w:val="en-US" w:eastAsia="zh-CN"/>
        </w:rPr>
        <w:t>标准</w:t>
      </w:r>
      <w:r>
        <w:rPr>
          <w:rFonts w:hint="eastAsia" w:ascii="仿宋" w:hAnsi="仿宋" w:eastAsia="仿宋"/>
          <w:b/>
          <w:bCs w:val="0"/>
          <w:sz w:val="24"/>
          <w:lang w:val="en-US" w:eastAsia="zh-CN"/>
        </w:rPr>
        <w:t>：</w:t>
      </w:r>
    </w:p>
    <w:p w14:paraId="6EAB2689">
      <w:pPr>
        <w:spacing w:line="360" w:lineRule="auto"/>
        <w:ind w:firstLine="495"/>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7BE945A">
      <w:pPr>
        <w:spacing w:line="360" w:lineRule="auto"/>
        <w:ind w:firstLine="495"/>
        <w:rPr>
          <w:rFonts w:hint="eastAsia" w:ascii="仿宋" w:hAnsi="仿宋" w:eastAsia="仿宋"/>
          <w:bCs/>
          <w:sz w:val="24"/>
          <w:lang w:eastAsia="zh-CN"/>
        </w:rPr>
      </w:pPr>
      <w:r>
        <w:rPr>
          <w:rFonts w:hint="eastAsia" w:ascii="仿宋" w:hAnsi="仿宋" w:eastAsia="仿宋"/>
          <w:bCs/>
          <w:sz w:val="24"/>
        </w:rPr>
        <w:t>（2）货物到达交货地点后，采购人</w:t>
      </w:r>
      <w:r>
        <w:rPr>
          <w:rFonts w:hint="eastAsia" w:ascii="仿宋" w:hAnsi="仿宋" w:eastAsia="仿宋"/>
          <w:bCs/>
          <w:sz w:val="24"/>
          <w:lang w:val="en-US" w:eastAsia="zh-CN"/>
        </w:rPr>
        <w:t>当场</w:t>
      </w:r>
      <w:r>
        <w:rPr>
          <w:rFonts w:hint="eastAsia" w:ascii="仿宋" w:hAnsi="仿宋" w:eastAsia="仿宋"/>
          <w:bCs/>
          <w:sz w:val="24"/>
        </w:rPr>
        <w:t>核对到货数量、柜体外形参数、主体用材、制作工艺，并查验质保</w:t>
      </w:r>
      <w:r>
        <w:rPr>
          <w:rFonts w:hint="eastAsia" w:ascii="仿宋" w:hAnsi="仿宋" w:eastAsia="仿宋"/>
          <w:bCs/>
          <w:sz w:val="24"/>
          <w:lang w:val="en-US" w:eastAsia="zh-CN"/>
        </w:rPr>
        <w:t>卡等</w:t>
      </w:r>
      <w:r>
        <w:rPr>
          <w:rFonts w:hint="eastAsia" w:ascii="仿宋" w:hAnsi="仿宋" w:eastAsia="仿宋"/>
          <w:bCs/>
          <w:sz w:val="24"/>
        </w:rPr>
        <w:t>文件</w:t>
      </w:r>
      <w:r>
        <w:rPr>
          <w:rFonts w:hint="eastAsia" w:ascii="仿宋" w:hAnsi="仿宋" w:eastAsia="仿宋"/>
          <w:bCs/>
          <w:sz w:val="24"/>
          <w:lang w:eastAsia="zh-CN"/>
        </w:rPr>
        <w:t>。</w:t>
      </w:r>
    </w:p>
    <w:p w14:paraId="39475605">
      <w:pPr>
        <w:spacing w:line="360" w:lineRule="auto"/>
        <w:ind w:firstLine="495"/>
        <w:rPr>
          <w:rFonts w:hint="eastAsia" w:ascii="仿宋" w:hAnsi="仿宋" w:eastAsia="仿宋"/>
          <w:bCs/>
          <w:sz w:val="24"/>
          <w:lang w:val="en-US" w:eastAsia="zh-CN"/>
        </w:rPr>
      </w:pPr>
      <w:r>
        <w:rPr>
          <w:rFonts w:hint="eastAsia" w:ascii="仿宋" w:hAnsi="仿宋" w:eastAsia="仿宋"/>
          <w:bCs/>
          <w:sz w:val="24"/>
        </w:rPr>
        <w:t>（3）所有</w:t>
      </w:r>
      <w:r>
        <w:rPr>
          <w:rFonts w:hint="eastAsia" w:ascii="仿宋" w:hAnsi="仿宋" w:eastAsia="仿宋"/>
          <w:bCs/>
          <w:sz w:val="24"/>
          <w:lang w:val="en-US" w:eastAsia="zh-CN"/>
        </w:rPr>
        <w:t>货物</w:t>
      </w:r>
      <w:r>
        <w:rPr>
          <w:rFonts w:hint="eastAsia" w:ascii="仿宋" w:hAnsi="仿宋" w:eastAsia="仿宋"/>
          <w:bCs/>
          <w:sz w:val="24"/>
        </w:rPr>
        <w:t>配送到位、搬运、现场摆放就位，并完成现场清理后，需逐一检查柜体结构稳固程度，调试使用性能，全部检验合格</w:t>
      </w:r>
      <w:r>
        <w:rPr>
          <w:rFonts w:hint="eastAsia" w:ascii="仿宋" w:hAnsi="仿宋" w:eastAsia="仿宋"/>
          <w:bCs/>
          <w:sz w:val="24"/>
          <w:lang w:val="en-US" w:eastAsia="zh-CN"/>
        </w:rPr>
        <w:t>后</w:t>
      </w:r>
      <w:r>
        <w:rPr>
          <w:rFonts w:hint="eastAsia" w:ascii="仿宋" w:hAnsi="仿宋" w:eastAsia="仿宋"/>
          <w:bCs/>
          <w:sz w:val="24"/>
        </w:rPr>
        <w:t>，方可</w:t>
      </w:r>
      <w:r>
        <w:rPr>
          <w:rFonts w:hint="eastAsia" w:ascii="仿宋" w:hAnsi="仿宋" w:eastAsia="仿宋"/>
          <w:bCs/>
          <w:sz w:val="24"/>
          <w:lang w:val="en-US" w:eastAsia="zh-CN"/>
        </w:rPr>
        <w:t>进行</w:t>
      </w:r>
      <w:r>
        <w:rPr>
          <w:rFonts w:hint="eastAsia" w:ascii="仿宋" w:hAnsi="仿宋" w:eastAsia="仿宋"/>
          <w:bCs/>
          <w:sz w:val="24"/>
        </w:rPr>
        <w:t>最终验收。</w:t>
      </w:r>
    </w:p>
    <w:p w14:paraId="7790FD57">
      <w:pPr>
        <w:spacing w:line="360" w:lineRule="auto"/>
        <w:ind w:firstLine="495"/>
        <w:rPr>
          <w:rFonts w:hint="eastAsia" w:ascii="仿宋" w:hAnsi="仿宋" w:eastAsia="仿宋"/>
          <w:bCs/>
          <w:sz w:val="24"/>
          <w:lang w:val="en-US" w:eastAsia="zh-CN"/>
        </w:rPr>
      </w:pPr>
    </w:p>
    <w:p w14:paraId="024FA9A6">
      <w:pPr>
        <w:pStyle w:val="2"/>
        <w:rPr>
          <w:rFonts w:hint="eastAsia" w:ascii="仿宋_GB2312" w:hAnsi="仿宋_GB2312" w:eastAsia="仿宋_GB2312"/>
          <w:snapToGrid w:val="0"/>
          <w:sz w:val="24"/>
          <w:lang w:val="en-US" w:eastAsia="zh-CN"/>
        </w:rPr>
      </w:pPr>
    </w:p>
    <w:p w14:paraId="1379405B">
      <w:pPr>
        <w:pStyle w:val="2"/>
        <w:rPr>
          <w:rFonts w:hint="eastAsia" w:ascii="仿宋_GB2312" w:hAnsi="仿宋_GB2312" w:eastAsia="仿宋_GB2312"/>
          <w:snapToGrid w:val="0"/>
          <w:sz w:val="24"/>
          <w:lang w:val="en-US" w:eastAsia="zh-CN"/>
        </w:rPr>
      </w:pPr>
    </w:p>
    <w:p w14:paraId="102DCDF9">
      <w:pPr>
        <w:pStyle w:val="2"/>
        <w:rPr>
          <w:rFonts w:hint="eastAsia" w:ascii="仿宋_GB2312" w:hAnsi="仿宋_GB2312" w:eastAsia="仿宋_GB2312"/>
          <w:snapToGrid w:val="0"/>
          <w:sz w:val="24"/>
          <w:lang w:val="en-US" w:eastAsia="zh-CN"/>
        </w:rPr>
      </w:pPr>
    </w:p>
    <w:p w14:paraId="21F5EB49">
      <w:pPr>
        <w:pStyle w:val="2"/>
        <w:rPr>
          <w:rFonts w:hint="eastAsia" w:ascii="仿宋_GB2312" w:hAnsi="仿宋_GB2312" w:eastAsia="仿宋_GB2312"/>
          <w:snapToGrid w:val="0"/>
          <w:sz w:val="24"/>
          <w:lang w:val="en-US" w:eastAsia="zh-CN"/>
        </w:rPr>
      </w:pPr>
    </w:p>
    <w:p w14:paraId="6164C958">
      <w:pPr>
        <w:pStyle w:val="2"/>
        <w:rPr>
          <w:rFonts w:hint="eastAsia" w:ascii="仿宋_GB2312" w:hAnsi="仿宋_GB2312" w:eastAsia="仿宋_GB2312"/>
          <w:snapToGrid w:val="0"/>
          <w:sz w:val="24"/>
          <w:lang w:val="en-US" w:eastAsia="zh-CN"/>
        </w:rPr>
      </w:pPr>
    </w:p>
    <w:p w14:paraId="2AB159BF">
      <w:pPr>
        <w:pStyle w:val="2"/>
        <w:rPr>
          <w:rFonts w:hint="eastAsia" w:ascii="仿宋_GB2312" w:hAnsi="仿宋_GB2312" w:eastAsia="仿宋_GB2312"/>
          <w:snapToGrid w:val="0"/>
          <w:sz w:val="24"/>
          <w:lang w:val="en-US" w:eastAsia="zh-CN"/>
        </w:rPr>
      </w:pPr>
    </w:p>
    <w:p w14:paraId="2A507D13">
      <w:pPr>
        <w:pStyle w:val="2"/>
        <w:rPr>
          <w:rFonts w:hint="eastAsia" w:ascii="仿宋_GB2312" w:hAnsi="仿宋_GB2312" w:eastAsia="仿宋_GB2312"/>
          <w:snapToGrid w:val="0"/>
          <w:sz w:val="24"/>
          <w:lang w:val="en-US" w:eastAsia="zh-CN"/>
        </w:rPr>
      </w:pPr>
    </w:p>
    <w:p w14:paraId="7614A55F">
      <w:pPr>
        <w:pStyle w:val="2"/>
        <w:rPr>
          <w:rFonts w:hint="eastAsia" w:ascii="仿宋_GB2312" w:hAnsi="仿宋_GB2312" w:eastAsia="仿宋_GB2312"/>
          <w:snapToGrid w:val="0"/>
          <w:sz w:val="24"/>
          <w:lang w:val="en-US" w:eastAsia="zh-CN"/>
        </w:rPr>
      </w:pPr>
    </w:p>
    <w:p w14:paraId="30F7B777">
      <w:pPr>
        <w:pStyle w:val="2"/>
        <w:rPr>
          <w:rFonts w:hint="eastAsia" w:ascii="仿宋_GB2312" w:hAnsi="仿宋_GB2312" w:eastAsia="仿宋_GB2312"/>
          <w:snapToGrid w:val="0"/>
          <w:sz w:val="24"/>
          <w:lang w:val="en-US" w:eastAsia="zh-CN"/>
        </w:rPr>
      </w:pPr>
    </w:p>
    <w:p w14:paraId="50E20ACD">
      <w:pPr>
        <w:pStyle w:val="2"/>
        <w:rPr>
          <w:rFonts w:hint="eastAsia" w:ascii="仿宋_GB2312" w:hAnsi="仿宋_GB2312" w:eastAsia="仿宋_GB2312"/>
          <w:snapToGrid w:val="0"/>
          <w:sz w:val="24"/>
          <w:lang w:val="en-US" w:eastAsia="zh-CN"/>
        </w:rPr>
      </w:pPr>
    </w:p>
    <w:p w14:paraId="57B0BA0A">
      <w:pPr>
        <w:pStyle w:val="2"/>
        <w:rPr>
          <w:rFonts w:hint="eastAsia" w:ascii="仿宋_GB2312" w:hAnsi="仿宋_GB2312" w:eastAsia="仿宋_GB2312"/>
          <w:snapToGrid w:val="0"/>
          <w:sz w:val="24"/>
          <w:lang w:val="en-US" w:eastAsia="zh-CN"/>
        </w:rPr>
      </w:pPr>
    </w:p>
    <w:p w14:paraId="5C1555AA">
      <w:pPr>
        <w:pStyle w:val="2"/>
        <w:rPr>
          <w:rFonts w:hint="eastAsia" w:ascii="仿宋_GB2312" w:hAnsi="仿宋_GB2312" w:eastAsia="仿宋_GB2312"/>
          <w:snapToGrid w:val="0"/>
          <w:sz w:val="24"/>
          <w:lang w:val="en-US" w:eastAsia="zh-CN"/>
        </w:rPr>
      </w:pPr>
    </w:p>
    <w:p w14:paraId="496D5133">
      <w:pPr>
        <w:pStyle w:val="2"/>
        <w:rPr>
          <w:rFonts w:hint="eastAsia" w:ascii="仿宋_GB2312" w:hAnsi="仿宋_GB2312" w:eastAsia="仿宋_GB2312"/>
          <w:snapToGrid w:val="0"/>
          <w:sz w:val="24"/>
          <w:lang w:val="en-US" w:eastAsia="zh-CN"/>
        </w:rPr>
      </w:pPr>
    </w:p>
    <w:p w14:paraId="66ED39DB">
      <w:pPr>
        <w:pStyle w:val="2"/>
        <w:rPr>
          <w:rFonts w:hint="eastAsia" w:ascii="仿宋_GB2312" w:hAnsi="仿宋_GB2312" w:eastAsia="仿宋_GB2312"/>
          <w:snapToGrid w:val="0"/>
          <w:sz w:val="24"/>
          <w:lang w:val="en-US" w:eastAsia="zh-CN"/>
        </w:rPr>
      </w:pPr>
    </w:p>
    <w:p w14:paraId="0318550F">
      <w:pPr>
        <w:pStyle w:val="2"/>
        <w:rPr>
          <w:rFonts w:hint="eastAsia" w:ascii="仿宋_GB2312" w:hAnsi="仿宋_GB2312" w:eastAsia="仿宋_GB2312"/>
          <w:snapToGrid w:val="0"/>
          <w:sz w:val="24"/>
          <w:lang w:val="en-US" w:eastAsia="zh-CN"/>
        </w:rPr>
      </w:pPr>
    </w:p>
    <w:p w14:paraId="6DE48FFA">
      <w:pPr>
        <w:pStyle w:val="2"/>
        <w:rPr>
          <w:rFonts w:hint="eastAsia" w:ascii="仿宋_GB2312" w:hAnsi="仿宋_GB2312" w:eastAsia="仿宋_GB2312"/>
          <w:snapToGrid w:val="0"/>
          <w:sz w:val="24"/>
          <w:lang w:val="en-US" w:eastAsia="zh-CN"/>
        </w:rPr>
      </w:pPr>
    </w:p>
    <w:p w14:paraId="78CDD7ED">
      <w:pPr>
        <w:pStyle w:val="2"/>
        <w:rPr>
          <w:rFonts w:hint="eastAsia" w:ascii="仿宋_GB2312" w:hAnsi="仿宋_GB2312" w:eastAsia="仿宋_GB2312"/>
          <w:snapToGrid w:val="0"/>
          <w:sz w:val="24"/>
          <w:lang w:val="en-US" w:eastAsia="zh-CN"/>
        </w:rPr>
      </w:pPr>
    </w:p>
    <w:p w14:paraId="581A17A8">
      <w:pPr>
        <w:pStyle w:val="2"/>
        <w:rPr>
          <w:rFonts w:hint="eastAsia" w:ascii="仿宋_GB2312" w:hAnsi="仿宋_GB2312" w:eastAsia="仿宋_GB2312"/>
          <w:snapToGrid w:val="0"/>
          <w:sz w:val="24"/>
          <w:lang w:val="en-US" w:eastAsia="zh-CN"/>
        </w:rPr>
      </w:pPr>
    </w:p>
    <w:p w14:paraId="196FA2C7">
      <w:pPr>
        <w:pStyle w:val="2"/>
        <w:rPr>
          <w:rFonts w:hint="eastAsia" w:ascii="仿宋_GB2312" w:hAnsi="仿宋_GB2312" w:eastAsia="仿宋_GB2312"/>
          <w:snapToGrid w:val="0"/>
          <w:sz w:val="24"/>
          <w:lang w:val="en-US" w:eastAsia="zh-CN"/>
        </w:rPr>
      </w:pPr>
    </w:p>
    <w:p w14:paraId="06966CBC">
      <w:pPr>
        <w:pStyle w:val="2"/>
        <w:rPr>
          <w:rFonts w:hint="eastAsia" w:ascii="仿宋_GB2312" w:hAnsi="仿宋_GB2312" w:eastAsia="仿宋_GB2312"/>
          <w:snapToGrid w:val="0"/>
          <w:sz w:val="24"/>
          <w:lang w:val="en-US" w:eastAsia="zh-CN"/>
        </w:rPr>
      </w:pPr>
    </w:p>
    <w:p w14:paraId="5B1EA234">
      <w:pPr>
        <w:pStyle w:val="2"/>
        <w:rPr>
          <w:rFonts w:hint="eastAsia" w:ascii="仿宋_GB2312" w:hAnsi="仿宋_GB2312" w:eastAsia="仿宋_GB2312"/>
          <w:snapToGrid w:val="0"/>
          <w:sz w:val="24"/>
          <w:lang w:val="en-US" w:eastAsia="zh-CN"/>
        </w:rPr>
      </w:pPr>
    </w:p>
    <w:p w14:paraId="4B7EDF68">
      <w:pPr>
        <w:pStyle w:val="2"/>
        <w:rPr>
          <w:rFonts w:hint="eastAsia" w:ascii="仿宋_GB2312" w:hAnsi="仿宋_GB2312" w:eastAsia="仿宋_GB2312"/>
          <w:snapToGrid w:val="0"/>
          <w:sz w:val="24"/>
          <w:lang w:val="en-US" w:eastAsia="zh-CN"/>
        </w:rPr>
      </w:pPr>
    </w:p>
    <w:p w14:paraId="43D5774A">
      <w:pPr>
        <w:pStyle w:val="2"/>
        <w:rPr>
          <w:rFonts w:hint="eastAsia" w:ascii="仿宋_GB2312" w:hAnsi="仿宋_GB2312" w:eastAsia="仿宋_GB2312"/>
          <w:snapToGrid w:val="0"/>
          <w:sz w:val="24"/>
          <w:lang w:val="en-US" w:eastAsia="zh-CN"/>
        </w:rPr>
      </w:pPr>
    </w:p>
    <w:p w14:paraId="5A1FA9FC">
      <w:pPr>
        <w:pStyle w:val="2"/>
        <w:rPr>
          <w:rFonts w:hint="eastAsia" w:ascii="仿宋_GB2312" w:hAnsi="仿宋_GB2312" w:eastAsia="仿宋_GB2312"/>
          <w:snapToGrid w:val="0"/>
          <w:sz w:val="24"/>
          <w:lang w:val="en-US" w:eastAsia="zh-CN"/>
        </w:rPr>
      </w:pPr>
    </w:p>
    <w:p w14:paraId="044A8A17">
      <w:pPr>
        <w:pStyle w:val="2"/>
        <w:rPr>
          <w:rFonts w:hint="eastAsia" w:ascii="仿宋_GB2312" w:hAnsi="仿宋_GB2312" w:eastAsia="仿宋_GB2312"/>
          <w:snapToGrid w:val="0"/>
          <w:sz w:val="24"/>
          <w:lang w:val="en-US" w:eastAsia="zh-CN"/>
        </w:rPr>
      </w:pPr>
    </w:p>
    <w:p w14:paraId="32CA2C96">
      <w:pPr>
        <w:pStyle w:val="2"/>
        <w:rPr>
          <w:rFonts w:hint="eastAsia" w:ascii="仿宋_GB2312" w:hAnsi="仿宋_GB2312" w:eastAsia="仿宋_GB2312"/>
          <w:snapToGrid w:val="0"/>
          <w:sz w:val="24"/>
          <w:lang w:val="en-US" w:eastAsia="zh-CN"/>
        </w:rPr>
      </w:pPr>
    </w:p>
    <w:p w14:paraId="16261FEB">
      <w:pPr>
        <w:pStyle w:val="2"/>
        <w:rPr>
          <w:rFonts w:hint="eastAsia" w:ascii="仿宋_GB2312" w:hAnsi="仿宋_GB2312" w:eastAsia="仿宋_GB2312"/>
          <w:snapToGrid w:val="0"/>
          <w:sz w:val="24"/>
          <w:lang w:val="en-US" w:eastAsia="zh-CN"/>
        </w:rPr>
      </w:pPr>
    </w:p>
    <w:p w14:paraId="65B62B50">
      <w:pPr>
        <w:pStyle w:val="2"/>
        <w:rPr>
          <w:rFonts w:hint="eastAsia" w:ascii="仿宋_GB2312" w:hAnsi="仿宋_GB2312" w:eastAsia="仿宋_GB2312"/>
          <w:snapToGrid w:val="0"/>
          <w:sz w:val="24"/>
          <w:lang w:val="en-US" w:eastAsia="zh-CN"/>
        </w:rPr>
      </w:pPr>
    </w:p>
    <w:p w14:paraId="39473A31">
      <w:pPr>
        <w:pStyle w:val="2"/>
        <w:rPr>
          <w:rFonts w:hint="eastAsia" w:ascii="仿宋_GB2312" w:hAnsi="仿宋_GB2312" w:eastAsia="仿宋_GB2312"/>
          <w:snapToGrid w:val="0"/>
          <w:sz w:val="24"/>
          <w:lang w:val="en-US" w:eastAsia="zh-CN"/>
        </w:rPr>
      </w:pPr>
    </w:p>
    <w:p w14:paraId="75C89B68">
      <w:pPr>
        <w:pStyle w:val="2"/>
        <w:rPr>
          <w:rFonts w:hint="eastAsia" w:ascii="仿宋_GB2312" w:hAnsi="仿宋_GB2312" w:eastAsia="仿宋_GB2312"/>
          <w:snapToGrid w:val="0"/>
          <w:sz w:val="24"/>
          <w:lang w:val="en-US" w:eastAsia="zh-CN"/>
        </w:rPr>
      </w:pPr>
    </w:p>
    <w:p w14:paraId="43AA8A20">
      <w:pPr>
        <w:pStyle w:val="2"/>
        <w:rPr>
          <w:rFonts w:hint="eastAsia" w:ascii="仿宋_GB2312" w:hAnsi="仿宋_GB2312" w:eastAsia="仿宋_GB2312"/>
          <w:snapToGrid w:val="0"/>
          <w:sz w:val="24"/>
          <w:lang w:val="en-US" w:eastAsia="zh-CN"/>
        </w:rPr>
      </w:pPr>
    </w:p>
    <w:p w14:paraId="5FA18625">
      <w:pPr>
        <w:pStyle w:val="2"/>
        <w:rPr>
          <w:rFonts w:hint="eastAsia" w:ascii="仿宋_GB2312" w:hAnsi="仿宋_GB2312" w:eastAsia="仿宋_GB2312"/>
          <w:snapToGrid w:val="0"/>
          <w:sz w:val="24"/>
          <w:lang w:val="en-US" w:eastAsia="zh-CN"/>
        </w:rPr>
      </w:pPr>
    </w:p>
    <w:p w14:paraId="6C0F555C">
      <w:pPr>
        <w:pStyle w:val="2"/>
        <w:rPr>
          <w:rFonts w:hint="eastAsia" w:ascii="仿宋_GB2312" w:hAnsi="仿宋_GB2312" w:eastAsia="仿宋_GB2312"/>
          <w:snapToGrid w:val="0"/>
          <w:sz w:val="24"/>
          <w:lang w:val="en-US" w:eastAsia="zh-CN"/>
        </w:rPr>
      </w:pPr>
    </w:p>
    <w:p w14:paraId="4B893729">
      <w:pPr>
        <w:pStyle w:val="2"/>
        <w:rPr>
          <w:rFonts w:hint="eastAsia" w:ascii="仿宋_GB2312" w:hAnsi="仿宋_GB2312" w:eastAsia="仿宋_GB2312"/>
          <w:snapToGrid w:val="0"/>
          <w:sz w:val="24"/>
          <w:lang w:val="en-US" w:eastAsia="zh-CN"/>
        </w:rPr>
      </w:pPr>
    </w:p>
    <w:p w14:paraId="532C67D0">
      <w:pPr>
        <w:pStyle w:val="2"/>
        <w:rPr>
          <w:rFonts w:hint="eastAsia" w:ascii="仿宋_GB2312" w:hAnsi="仿宋_GB2312" w:eastAsia="仿宋_GB2312"/>
          <w:snapToGrid w:val="0"/>
          <w:sz w:val="24"/>
          <w:lang w:val="en-US" w:eastAsia="zh-CN"/>
        </w:rPr>
      </w:pPr>
    </w:p>
    <w:p w14:paraId="3E6BA0B5">
      <w:pPr>
        <w:pStyle w:val="2"/>
        <w:rPr>
          <w:rFonts w:hint="eastAsia" w:ascii="仿宋_GB2312" w:hAnsi="仿宋_GB2312" w:eastAsia="仿宋_GB2312"/>
          <w:snapToGrid w:val="0"/>
          <w:sz w:val="24"/>
          <w:lang w:val="en-US" w:eastAsia="zh-CN"/>
        </w:rPr>
      </w:pPr>
    </w:p>
    <w:p w14:paraId="78DE9A05">
      <w:pPr>
        <w:pStyle w:val="2"/>
        <w:rPr>
          <w:rFonts w:hint="eastAsia" w:ascii="仿宋_GB2312" w:hAnsi="仿宋_GB2312" w:eastAsia="仿宋_GB2312"/>
          <w:snapToGrid w:val="0"/>
          <w:sz w:val="24"/>
          <w:lang w:val="en-US" w:eastAsia="zh-CN"/>
        </w:rPr>
      </w:pPr>
    </w:p>
    <w:p w14:paraId="0A1B9F86">
      <w:pPr>
        <w:pStyle w:val="2"/>
        <w:rPr>
          <w:rFonts w:hint="eastAsia" w:ascii="仿宋_GB2312" w:hAnsi="仿宋_GB2312" w:eastAsia="仿宋_GB2312"/>
          <w:snapToGrid w:val="0"/>
          <w:sz w:val="24"/>
          <w:lang w:val="en-US" w:eastAsia="zh-CN"/>
        </w:rPr>
      </w:pPr>
    </w:p>
    <w:p w14:paraId="40387A40">
      <w:pPr>
        <w:pStyle w:val="2"/>
        <w:rPr>
          <w:rFonts w:hint="eastAsia" w:ascii="仿宋_GB2312" w:hAnsi="仿宋_GB2312" w:eastAsia="仿宋_GB2312"/>
          <w:snapToGrid w:val="0"/>
          <w:sz w:val="24"/>
          <w:lang w:val="en-US" w:eastAsia="zh-CN"/>
        </w:rPr>
      </w:pPr>
    </w:p>
    <w:p w14:paraId="1435161B">
      <w:pPr>
        <w:pStyle w:val="2"/>
        <w:rPr>
          <w:rFonts w:hint="eastAsia" w:ascii="仿宋_GB2312" w:hAnsi="仿宋_GB2312" w:eastAsia="仿宋_GB2312"/>
          <w:snapToGrid w:val="0"/>
          <w:sz w:val="24"/>
          <w:lang w:val="en-US" w:eastAsia="zh-CN"/>
        </w:rPr>
      </w:pPr>
    </w:p>
    <w:p w14:paraId="054EB803">
      <w:pPr>
        <w:pStyle w:val="2"/>
        <w:rPr>
          <w:rFonts w:hint="eastAsia" w:ascii="仿宋_GB2312" w:hAnsi="仿宋_GB2312" w:eastAsia="仿宋_GB2312"/>
          <w:snapToGrid w:val="0"/>
          <w:sz w:val="24"/>
          <w:lang w:val="en-US" w:eastAsia="zh-CN"/>
        </w:rPr>
      </w:pPr>
    </w:p>
    <w:p w14:paraId="070FC133">
      <w:pPr>
        <w:pStyle w:val="2"/>
        <w:rPr>
          <w:rFonts w:hint="eastAsia" w:ascii="仿宋_GB2312" w:hAnsi="仿宋_GB2312" w:eastAsia="仿宋_GB2312"/>
          <w:snapToGrid w:val="0"/>
          <w:sz w:val="24"/>
          <w:lang w:val="en-US" w:eastAsia="zh-CN"/>
        </w:rPr>
      </w:pPr>
    </w:p>
    <w:p w14:paraId="6F294B3B">
      <w:pPr>
        <w:pStyle w:val="2"/>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2"/>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2"/>
        <w:rPr>
          <w:rFonts w:ascii="仿宋_GB2312" w:hAnsi="仿宋_GB2312" w:eastAsia="仿宋_GB2312"/>
          <w:b/>
          <w:bCs/>
          <w:sz w:val="36"/>
        </w:rPr>
      </w:pPr>
    </w:p>
    <w:p w14:paraId="6993C943">
      <w:pPr>
        <w:pStyle w:val="2"/>
        <w:rPr>
          <w:rFonts w:ascii="仿宋_GB2312" w:hAnsi="仿宋_GB2312" w:eastAsia="仿宋_GB2312"/>
          <w:b/>
          <w:bCs/>
          <w:sz w:val="36"/>
        </w:rPr>
      </w:pPr>
    </w:p>
    <w:p w14:paraId="3CBEF13D">
      <w:pPr>
        <w:pStyle w:val="2"/>
        <w:rPr>
          <w:rFonts w:hint="eastAsia" w:ascii="仿宋_GB2312" w:hAnsi="仿宋_GB2312" w:eastAsia="仿宋_GB2312"/>
          <w:b/>
          <w:bCs/>
          <w:sz w:val="36"/>
          <w:lang w:eastAsia="zh-CN"/>
        </w:rPr>
      </w:pPr>
    </w:p>
    <w:p w14:paraId="2048F334">
      <w:pPr>
        <w:pStyle w:val="2"/>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6"/>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2"/>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539"/>
        <w:gridCol w:w="1060"/>
        <w:gridCol w:w="2485"/>
        <w:gridCol w:w="968"/>
        <w:gridCol w:w="788"/>
        <w:gridCol w:w="952"/>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539"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6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485"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68"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788"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952"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1</w:t>
            </w:r>
          </w:p>
        </w:tc>
        <w:tc>
          <w:tcPr>
            <w:tcW w:w="1539" w:type="dxa"/>
            <w:shd w:val="clear" w:color="auto" w:fill="auto"/>
            <w:vAlign w:val="center"/>
          </w:tcPr>
          <w:p w14:paraId="1A3E7900">
            <w:pPr>
              <w:spacing w:line="276"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kern w:val="0"/>
                <w:sz w:val="24"/>
                <w:szCs w:val="24"/>
                <w:lang w:val="en-US" w:eastAsia="zh-CN"/>
              </w:rPr>
              <w:t>更衣柜</w:t>
            </w:r>
          </w:p>
        </w:tc>
        <w:tc>
          <w:tcPr>
            <w:tcW w:w="1060" w:type="dxa"/>
            <w:shd w:val="clear" w:color="auto" w:fill="auto"/>
          </w:tcPr>
          <w:p w14:paraId="69B4ABB2">
            <w:pPr>
              <w:spacing w:line="276" w:lineRule="auto"/>
              <w:jc w:val="center"/>
              <w:rPr>
                <w:rFonts w:ascii="仿宋_GB2312" w:hAnsi="仿宋_GB2312" w:eastAsia="仿宋_GB2312"/>
                <w:sz w:val="24"/>
              </w:rPr>
            </w:pPr>
          </w:p>
        </w:tc>
        <w:tc>
          <w:tcPr>
            <w:tcW w:w="2485" w:type="dxa"/>
            <w:shd w:val="clear" w:color="auto" w:fill="auto"/>
          </w:tcPr>
          <w:p w14:paraId="532BBC6E">
            <w:pPr>
              <w:spacing w:line="276" w:lineRule="auto"/>
              <w:jc w:val="center"/>
              <w:rPr>
                <w:rFonts w:ascii="仿宋_GB2312" w:hAnsi="仿宋_GB2312" w:eastAsia="仿宋_GB2312"/>
                <w:sz w:val="24"/>
              </w:rPr>
            </w:pPr>
          </w:p>
        </w:tc>
        <w:tc>
          <w:tcPr>
            <w:tcW w:w="968" w:type="dxa"/>
            <w:shd w:val="clear" w:color="auto" w:fill="auto"/>
          </w:tcPr>
          <w:p w14:paraId="2CB34EB4">
            <w:pPr>
              <w:spacing w:line="276" w:lineRule="auto"/>
              <w:jc w:val="center"/>
              <w:rPr>
                <w:rFonts w:ascii="仿宋_GB2312" w:hAnsi="仿宋_GB2312" w:eastAsia="仿宋_GB2312"/>
                <w:sz w:val="24"/>
              </w:rPr>
            </w:pPr>
          </w:p>
        </w:tc>
        <w:tc>
          <w:tcPr>
            <w:tcW w:w="788" w:type="dxa"/>
            <w:shd w:val="clear" w:color="auto" w:fill="auto"/>
          </w:tcPr>
          <w:p w14:paraId="75DF1D2A">
            <w:pPr>
              <w:spacing w:line="276" w:lineRule="auto"/>
              <w:jc w:val="center"/>
              <w:rPr>
                <w:rFonts w:ascii="仿宋_GB2312" w:hAnsi="仿宋_GB2312" w:eastAsia="仿宋_GB2312"/>
                <w:sz w:val="24"/>
              </w:rPr>
            </w:pPr>
          </w:p>
        </w:tc>
        <w:tc>
          <w:tcPr>
            <w:tcW w:w="952" w:type="dxa"/>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2"/>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1B916F63">
      <w:pPr>
        <w:spacing w:line="360" w:lineRule="auto"/>
        <w:rPr>
          <w:rFonts w:hint="default" w:ascii="仿宋" w:hAnsi="仿宋" w:eastAsia="仿宋_GB2312" w:cs="仿宋"/>
          <w:sz w:val="24"/>
          <w:u w:val="single"/>
          <w:lang w:val="en-US" w:eastAsia="zh-CN"/>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p>
    <w:p w14:paraId="1B8B96B1">
      <w:pPr>
        <w:pStyle w:val="24"/>
        <w:rPr>
          <w:rFonts w:hint="eastAsia" w:ascii="仿宋" w:hAnsi="仿宋" w:eastAsia="仿宋" w:cs="仿宋"/>
        </w:rPr>
      </w:pP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481"/>
        <w:gridCol w:w="1257"/>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481"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257"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481" w:type="dxa"/>
            <w:noWrap w:val="0"/>
            <w:vAlign w:val="center"/>
          </w:tcPr>
          <w:p w14:paraId="7771750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rPr>
              <w:t>★外形尺寸：高 1800mm × 宽 850mm × 深 420mm</w:t>
            </w:r>
          </w:p>
        </w:tc>
        <w:tc>
          <w:tcPr>
            <w:tcW w:w="1257"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481" w:type="dxa"/>
            <w:noWrap w:val="0"/>
            <w:vAlign w:val="center"/>
          </w:tcPr>
          <w:p w14:paraId="1BA095B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highlight w:val="yellow"/>
              </w:rPr>
            </w:pPr>
            <w:r>
              <w:rPr>
                <w:rFonts w:hint="eastAsia" w:ascii="仿宋" w:hAnsi="仿宋" w:eastAsia="仿宋" w:cs="仿宋"/>
                <w:b w:val="0"/>
                <w:bCs w:val="0"/>
                <w:sz w:val="21"/>
                <w:szCs w:val="21"/>
              </w:rPr>
              <w:t>★门数配置：4门/组，结构布局规整，满足日常存放、使用及管理需求</w:t>
            </w:r>
          </w:p>
        </w:tc>
        <w:tc>
          <w:tcPr>
            <w:tcW w:w="1257"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481" w:type="dxa"/>
            <w:noWrap w:val="0"/>
            <w:vAlign w:val="center"/>
          </w:tcPr>
          <w:p w14:paraId="4AD207DB">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sz w:val="21"/>
                <w:szCs w:val="21"/>
              </w:rPr>
            </w:pPr>
            <w:r>
              <w:rPr>
                <w:rFonts w:hint="eastAsia" w:ascii="仿宋" w:hAnsi="仿宋" w:eastAsia="仿宋" w:cs="仿宋"/>
                <w:sz w:val="21"/>
                <w:szCs w:val="21"/>
              </w:rPr>
              <w:t>★主体材质：采用优质冷轧钢板制作，材质性能稳定，具备良好防潮性能，可适配室内长期使用环境</w:t>
            </w:r>
            <w:r>
              <w:rPr>
                <w:rFonts w:hint="eastAsia" w:ascii="仿宋" w:hAnsi="仿宋" w:eastAsia="仿宋" w:cs="仿宋"/>
                <w:b/>
                <w:bCs/>
                <w:sz w:val="21"/>
                <w:szCs w:val="21"/>
              </w:rPr>
              <w:t>（供应商须提供材质样板1份、材质说明书/官方参数截图等有效证明材料。）</w:t>
            </w:r>
          </w:p>
        </w:tc>
        <w:tc>
          <w:tcPr>
            <w:tcW w:w="1257"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481" w:type="dxa"/>
            <w:noWrap w:val="0"/>
            <w:vAlign w:val="center"/>
          </w:tcPr>
          <w:p w14:paraId="02ABF23E">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★板材厚度：裸板厚度 ≥0.5mm</w:t>
            </w:r>
          </w:p>
        </w:tc>
        <w:tc>
          <w:tcPr>
            <w:tcW w:w="1257" w:type="dxa"/>
            <w:noWrap w:val="0"/>
            <w:vAlign w:val="center"/>
          </w:tcPr>
          <w:p w14:paraId="4D7416A2">
            <w:pPr>
              <w:spacing w:line="280" w:lineRule="exact"/>
              <w:jc w:val="center"/>
              <w:rPr>
                <w:rFonts w:hint="eastAsia" w:ascii="仿宋" w:hAnsi="仿宋" w:eastAsia="仿宋" w:cs="仿宋"/>
                <w:sz w:val="20"/>
                <w:szCs w:val="20"/>
              </w:rPr>
            </w:pPr>
          </w:p>
        </w:tc>
        <w:tc>
          <w:tcPr>
            <w:tcW w:w="1205" w:type="dxa"/>
            <w:noWrap w:val="0"/>
            <w:vAlign w:val="center"/>
          </w:tcPr>
          <w:p w14:paraId="278E3B39">
            <w:pPr>
              <w:spacing w:line="280" w:lineRule="exact"/>
              <w:jc w:val="center"/>
              <w:rPr>
                <w:rFonts w:hint="eastAsia" w:ascii="仿宋" w:hAnsi="仿宋" w:eastAsia="仿宋" w:cs="仿宋"/>
                <w:sz w:val="20"/>
                <w:szCs w:val="20"/>
              </w:rPr>
            </w:pPr>
          </w:p>
        </w:tc>
        <w:tc>
          <w:tcPr>
            <w:tcW w:w="1204"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481" w:type="dxa"/>
            <w:noWrap w:val="0"/>
            <w:vAlign w:val="center"/>
          </w:tcPr>
          <w:p w14:paraId="7499FB35">
            <w:pPr>
              <w:pStyle w:val="2"/>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▲表面处理工艺：设备整体采用白色静电喷涂工艺，漆面均匀光滑、附着力强，耐磨耐刮，不易褪色、起皮</w:t>
            </w:r>
          </w:p>
        </w:tc>
        <w:tc>
          <w:tcPr>
            <w:tcW w:w="1257" w:type="dxa"/>
            <w:noWrap w:val="0"/>
            <w:vAlign w:val="center"/>
          </w:tcPr>
          <w:p w14:paraId="4002DA74">
            <w:pPr>
              <w:spacing w:line="280" w:lineRule="exact"/>
              <w:jc w:val="center"/>
              <w:rPr>
                <w:rFonts w:hint="eastAsia" w:ascii="仿宋" w:hAnsi="仿宋" w:eastAsia="仿宋" w:cs="仿宋"/>
                <w:sz w:val="20"/>
                <w:szCs w:val="20"/>
              </w:rPr>
            </w:pPr>
          </w:p>
        </w:tc>
        <w:tc>
          <w:tcPr>
            <w:tcW w:w="1205" w:type="dxa"/>
            <w:noWrap w:val="0"/>
            <w:vAlign w:val="center"/>
          </w:tcPr>
          <w:p w14:paraId="735E4666">
            <w:pPr>
              <w:spacing w:line="280" w:lineRule="exact"/>
              <w:jc w:val="center"/>
              <w:rPr>
                <w:rFonts w:hint="eastAsia" w:ascii="仿宋" w:hAnsi="仿宋" w:eastAsia="仿宋" w:cs="仿宋"/>
                <w:sz w:val="20"/>
                <w:szCs w:val="20"/>
              </w:rPr>
            </w:pPr>
          </w:p>
        </w:tc>
        <w:tc>
          <w:tcPr>
            <w:tcW w:w="1204" w:type="dxa"/>
            <w:noWrap w:val="0"/>
            <w:vAlign w:val="center"/>
          </w:tcPr>
          <w:p w14:paraId="443E04EC">
            <w:pPr>
              <w:spacing w:line="280" w:lineRule="exact"/>
              <w:jc w:val="center"/>
              <w:rPr>
                <w:rFonts w:hint="eastAsia" w:ascii="仿宋" w:hAnsi="仿宋" w:eastAsia="仿宋" w:cs="仿宋"/>
                <w:sz w:val="20"/>
                <w:szCs w:val="20"/>
              </w:rPr>
            </w:pPr>
          </w:p>
        </w:tc>
      </w:tr>
      <w:tr w14:paraId="6A6C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39B4E90B">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4481" w:type="dxa"/>
            <w:noWrap w:val="0"/>
            <w:vAlign w:val="center"/>
          </w:tcPr>
          <w:p w14:paraId="693646CE">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▲结构性能要求：柜体结构稳固，柜门开合顺畅、闭合严实，无松动、晃动现象。</w:t>
            </w:r>
          </w:p>
        </w:tc>
        <w:tc>
          <w:tcPr>
            <w:tcW w:w="1257" w:type="dxa"/>
            <w:noWrap w:val="0"/>
            <w:vAlign w:val="center"/>
          </w:tcPr>
          <w:p w14:paraId="50DE983E">
            <w:pPr>
              <w:spacing w:line="280" w:lineRule="exact"/>
              <w:jc w:val="center"/>
              <w:rPr>
                <w:rFonts w:hint="eastAsia" w:ascii="仿宋" w:hAnsi="仿宋" w:eastAsia="仿宋" w:cs="仿宋"/>
                <w:sz w:val="20"/>
                <w:szCs w:val="20"/>
              </w:rPr>
            </w:pPr>
          </w:p>
        </w:tc>
        <w:tc>
          <w:tcPr>
            <w:tcW w:w="1205" w:type="dxa"/>
            <w:noWrap w:val="0"/>
            <w:vAlign w:val="center"/>
          </w:tcPr>
          <w:p w14:paraId="4ED397B6">
            <w:pPr>
              <w:spacing w:line="280" w:lineRule="exact"/>
              <w:jc w:val="center"/>
              <w:rPr>
                <w:rFonts w:hint="eastAsia" w:ascii="仿宋" w:hAnsi="仿宋" w:eastAsia="仿宋" w:cs="仿宋"/>
                <w:sz w:val="20"/>
                <w:szCs w:val="20"/>
              </w:rPr>
            </w:pPr>
          </w:p>
        </w:tc>
        <w:tc>
          <w:tcPr>
            <w:tcW w:w="1204" w:type="dxa"/>
            <w:noWrap w:val="0"/>
            <w:vAlign w:val="center"/>
          </w:tcPr>
          <w:p w14:paraId="4067306A">
            <w:pPr>
              <w:spacing w:line="280" w:lineRule="exact"/>
              <w:jc w:val="center"/>
              <w:rPr>
                <w:rFonts w:hint="eastAsia" w:ascii="仿宋" w:hAnsi="仿宋" w:eastAsia="仿宋" w:cs="仿宋"/>
                <w:sz w:val="20"/>
                <w:szCs w:val="20"/>
              </w:rPr>
            </w:pPr>
          </w:p>
        </w:tc>
      </w:tr>
    </w:tbl>
    <w:p w14:paraId="4242F426">
      <w:pPr>
        <w:pStyle w:val="2"/>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2"/>
        <w:rPr>
          <w:rFonts w:hint="eastAsia" w:ascii="仿宋" w:hAnsi="仿宋" w:eastAsia="仿宋" w:cs="仿宋"/>
          <w:sz w:val="22"/>
          <w:szCs w:val="22"/>
        </w:rPr>
      </w:pPr>
    </w:p>
    <w:p w14:paraId="3B4D14EB">
      <w:pPr>
        <w:pStyle w:val="2"/>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2"/>
        <w:rPr>
          <w:rFonts w:hint="eastAsia" w:ascii="仿宋" w:hAnsi="仿宋" w:eastAsia="仿宋" w:cs="仿宋"/>
          <w:sz w:val="22"/>
          <w:szCs w:val="22"/>
        </w:rPr>
      </w:pPr>
    </w:p>
    <w:p w14:paraId="4CFB7AA6">
      <w:pPr>
        <w:pStyle w:val="2"/>
        <w:rPr>
          <w:rFonts w:hint="eastAsia" w:ascii="仿宋" w:hAnsi="仿宋" w:eastAsia="仿宋" w:cs="仿宋"/>
          <w:sz w:val="22"/>
          <w:szCs w:val="22"/>
        </w:rPr>
      </w:pPr>
    </w:p>
    <w:p w14:paraId="1A1BB70C">
      <w:pPr>
        <w:pStyle w:val="2"/>
        <w:rPr>
          <w:rFonts w:hint="eastAsia" w:ascii="仿宋" w:hAnsi="仿宋" w:eastAsia="仿宋" w:cs="仿宋"/>
          <w:sz w:val="22"/>
          <w:szCs w:val="22"/>
        </w:rPr>
      </w:pPr>
    </w:p>
    <w:p w14:paraId="680A7EBD">
      <w:pPr>
        <w:pStyle w:val="2"/>
        <w:rPr>
          <w:rFonts w:hint="eastAsia" w:ascii="仿宋" w:hAnsi="仿宋" w:eastAsia="仿宋" w:cs="仿宋"/>
          <w:sz w:val="22"/>
          <w:szCs w:val="22"/>
        </w:rPr>
      </w:pPr>
    </w:p>
    <w:p w14:paraId="245DE2C9">
      <w:pPr>
        <w:pStyle w:val="2"/>
        <w:rPr>
          <w:rFonts w:hint="eastAsia" w:ascii="仿宋" w:hAnsi="仿宋" w:eastAsia="仿宋" w:cs="仿宋"/>
          <w:sz w:val="22"/>
          <w:szCs w:val="22"/>
        </w:rPr>
      </w:pPr>
    </w:p>
    <w:p w14:paraId="4005D043">
      <w:pPr>
        <w:pStyle w:val="2"/>
        <w:rPr>
          <w:rFonts w:hint="eastAsia" w:ascii="仿宋" w:hAnsi="仿宋" w:eastAsia="仿宋" w:cs="仿宋"/>
          <w:sz w:val="22"/>
          <w:szCs w:val="22"/>
        </w:rPr>
      </w:pPr>
    </w:p>
    <w:p w14:paraId="14DBD84C">
      <w:pPr>
        <w:pStyle w:val="2"/>
        <w:rPr>
          <w:rFonts w:hint="eastAsia" w:ascii="仿宋" w:hAnsi="仿宋" w:eastAsia="仿宋" w:cs="仿宋"/>
          <w:sz w:val="22"/>
          <w:szCs w:val="22"/>
        </w:rPr>
      </w:pPr>
    </w:p>
    <w:p w14:paraId="02927E99">
      <w:pPr>
        <w:pStyle w:val="2"/>
        <w:rPr>
          <w:rFonts w:hint="eastAsia" w:ascii="仿宋" w:hAnsi="仿宋" w:eastAsia="仿宋" w:cs="仿宋"/>
          <w:sz w:val="22"/>
          <w:szCs w:val="22"/>
        </w:rPr>
      </w:pPr>
    </w:p>
    <w:p w14:paraId="74C70255">
      <w:pPr>
        <w:pStyle w:val="2"/>
        <w:rPr>
          <w:rFonts w:hint="eastAsia" w:ascii="仿宋" w:hAnsi="仿宋" w:eastAsia="仿宋" w:cs="仿宋"/>
          <w:sz w:val="22"/>
          <w:szCs w:val="22"/>
        </w:rPr>
      </w:pPr>
    </w:p>
    <w:p w14:paraId="5F01D1D5">
      <w:pPr>
        <w:pStyle w:val="2"/>
        <w:rPr>
          <w:rFonts w:hint="eastAsia" w:ascii="仿宋" w:hAnsi="仿宋" w:eastAsia="仿宋" w:cs="仿宋"/>
          <w:sz w:val="22"/>
          <w:szCs w:val="22"/>
        </w:rPr>
      </w:pPr>
    </w:p>
    <w:p w14:paraId="509799F0">
      <w:pPr>
        <w:pStyle w:val="2"/>
        <w:rPr>
          <w:rFonts w:hint="eastAsia" w:ascii="仿宋" w:hAnsi="仿宋" w:eastAsia="仿宋" w:cs="仿宋"/>
          <w:sz w:val="22"/>
          <w:szCs w:val="22"/>
        </w:rPr>
      </w:pPr>
    </w:p>
    <w:p w14:paraId="14FE6706">
      <w:pPr>
        <w:pStyle w:val="2"/>
        <w:rPr>
          <w:rFonts w:hint="eastAsia" w:ascii="仿宋" w:hAnsi="仿宋" w:eastAsia="仿宋" w:cs="仿宋"/>
          <w:sz w:val="22"/>
          <w:szCs w:val="22"/>
        </w:rPr>
      </w:pPr>
    </w:p>
    <w:p w14:paraId="2EAEFCF1">
      <w:pPr>
        <w:pStyle w:val="2"/>
        <w:rPr>
          <w:rFonts w:hint="eastAsia" w:ascii="仿宋" w:hAnsi="仿宋" w:eastAsia="仿宋" w:cs="仿宋"/>
          <w:sz w:val="22"/>
          <w:szCs w:val="22"/>
        </w:rPr>
      </w:pPr>
    </w:p>
    <w:p w14:paraId="37A4A4DA">
      <w:pPr>
        <w:pStyle w:val="2"/>
        <w:rPr>
          <w:rFonts w:hint="eastAsia" w:ascii="仿宋" w:hAnsi="仿宋" w:eastAsia="仿宋" w:cs="仿宋"/>
          <w:sz w:val="22"/>
          <w:szCs w:val="22"/>
        </w:rPr>
      </w:pPr>
    </w:p>
    <w:p w14:paraId="646A27DB">
      <w:pPr>
        <w:pStyle w:val="2"/>
        <w:rPr>
          <w:rFonts w:hint="eastAsia" w:ascii="仿宋" w:hAnsi="仿宋" w:eastAsia="仿宋" w:cs="仿宋"/>
          <w:sz w:val="22"/>
          <w:szCs w:val="22"/>
        </w:rPr>
      </w:pPr>
    </w:p>
    <w:p w14:paraId="25CC2343">
      <w:pPr>
        <w:pStyle w:val="2"/>
        <w:rPr>
          <w:rFonts w:hint="eastAsia" w:ascii="仿宋" w:hAnsi="仿宋" w:eastAsia="仿宋" w:cs="仿宋"/>
          <w:sz w:val="22"/>
          <w:szCs w:val="22"/>
        </w:rPr>
      </w:pPr>
    </w:p>
    <w:p w14:paraId="008FAF4A">
      <w:pPr>
        <w:pStyle w:val="2"/>
        <w:rPr>
          <w:rFonts w:hint="eastAsia" w:ascii="仿宋" w:hAnsi="仿宋" w:eastAsia="仿宋" w:cs="仿宋"/>
          <w:sz w:val="22"/>
          <w:szCs w:val="22"/>
        </w:rPr>
      </w:pPr>
    </w:p>
    <w:p w14:paraId="283ECC0A">
      <w:pPr>
        <w:pStyle w:val="2"/>
        <w:rPr>
          <w:rFonts w:hint="eastAsia" w:ascii="仿宋" w:hAnsi="仿宋" w:eastAsia="仿宋" w:cs="仿宋"/>
          <w:sz w:val="22"/>
          <w:szCs w:val="22"/>
        </w:rPr>
      </w:pPr>
    </w:p>
    <w:p w14:paraId="6C3A9070">
      <w:pPr>
        <w:pStyle w:val="2"/>
        <w:rPr>
          <w:rFonts w:hint="eastAsia" w:ascii="仿宋" w:hAnsi="仿宋" w:eastAsia="仿宋" w:cs="仿宋"/>
          <w:sz w:val="22"/>
          <w:szCs w:val="22"/>
        </w:rPr>
      </w:pPr>
    </w:p>
    <w:p w14:paraId="7A10C9D8">
      <w:pPr>
        <w:pStyle w:val="2"/>
        <w:rPr>
          <w:rFonts w:hint="eastAsia" w:ascii="仿宋" w:hAnsi="仿宋" w:eastAsia="仿宋" w:cs="仿宋"/>
          <w:sz w:val="22"/>
          <w:szCs w:val="22"/>
        </w:rPr>
      </w:pPr>
    </w:p>
    <w:p w14:paraId="3212347A">
      <w:pPr>
        <w:pStyle w:val="2"/>
        <w:rPr>
          <w:rFonts w:hint="eastAsia" w:ascii="仿宋" w:hAnsi="仿宋" w:eastAsia="仿宋" w:cs="仿宋"/>
          <w:sz w:val="22"/>
          <w:szCs w:val="22"/>
        </w:rPr>
      </w:pPr>
    </w:p>
    <w:p w14:paraId="1962A22C">
      <w:pPr>
        <w:pStyle w:val="2"/>
        <w:rPr>
          <w:rFonts w:hint="eastAsia" w:ascii="仿宋" w:hAnsi="仿宋" w:eastAsia="仿宋" w:cs="仿宋"/>
          <w:sz w:val="22"/>
          <w:szCs w:val="22"/>
        </w:rPr>
      </w:pPr>
    </w:p>
    <w:p w14:paraId="4B123DED">
      <w:pPr>
        <w:pStyle w:val="2"/>
        <w:rPr>
          <w:rFonts w:hint="eastAsia" w:ascii="仿宋" w:hAnsi="仿宋" w:eastAsia="仿宋" w:cs="仿宋"/>
          <w:sz w:val="22"/>
          <w:szCs w:val="22"/>
        </w:rPr>
      </w:pPr>
    </w:p>
    <w:p w14:paraId="6B02C4D6">
      <w:pPr>
        <w:pStyle w:val="2"/>
        <w:rPr>
          <w:rFonts w:hint="eastAsia" w:ascii="仿宋" w:hAnsi="仿宋" w:eastAsia="仿宋" w:cs="仿宋"/>
          <w:sz w:val="22"/>
          <w:szCs w:val="22"/>
        </w:rPr>
      </w:pPr>
    </w:p>
    <w:p w14:paraId="4DEAC4B8">
      <w:pPr>
        <w:pStyle w:val="2"/>
        <w:rPr>
          <w:rFonts w:hint="eastAsia" w:ascii="仿宋" w:hAnsi="仿宋" w:eastAsia="仿宋" w:cs="仿宋"/>
          <w:sz w:val="22"/>
          <w:szCs w:val="22"/>
        </w:rPr>
      </w:pPr>
    </w:p>
    <w:p w14:paraId="7B5A8D37">
      <w:pPr>
        <w:pStyle w:val="2"/>
        <w:rPr>
          <w:rFonts w:hint="eastAsia" w:ascii="仿宋" w:hAnsi="仿宋" w:eastAsia="仿宋" w:cs="仿宋"/>
          <w:sz w:val="22"/>
          <w:szCs w:val="22"/>
        </w:rPr>
      </w:pPr>
    </w:p>
    <w:p w14:paraId="37136F43">
      <w:pPr>
        <w:pStyle w:val="2"/>
        <w:rPr>
          <w:rFonts w:hint="eastAsia" w:ascii="仿宋" w:hAnsi="仿宋" w:eastAsia="仿宋" w:cs="仿宋"/>
          <w:sz w:val="22"/>
          <w:szCs w:val="22"/>
        </w:rPr>
      </w:pPr>
    </w:p>
    <w:p w14:paraId="1A5346E0">
      <w:pPr>
        <w:pStyle w:val="2"/>
        <w:rPr>
          <w:rFonts w:hint="eastAsia" w:ascii="仿宋" w:hAnsi="仿宋" w:eastAsia="仿宋" w:cs="仿宋"/>
          <w:sz w:val="22"/>
          <w:szCs w:val="22"/>
        </w:rPr>
      </w:pPr>
    </w:p>
    <w:p w14:paraId="3512ECE9">
      <w:pPr>
        <w:pStyle w:val="2"/>
        <w:rPr>
          <w:rFonts w:hint="eastAsia" w:ascii="仿宋" w:hAnsi="仿宋" w:eastAsia="仿宋" w:cs="仿宋"/>
          <w:sz w:val="22"/>
          <w:szCs w:val="22"/>
        </w:rPr>
      </w:pPr>
    </w:p>
    <w:p w14:paraId="4D6DA90F">
      <w:pPr>
        <w:pStyle w:val="2"/>
        <w:rPr>
          <w:rFonts w:hint="eastAsia" w:ascii="仿宋" w:hAnsi="仿宋" w:eastAsia="仿宋" w:cs="仿宋"/>
          <w:sz w:val="22"/>
          <w:szCs w:val="22"/>
        </w:rPr>
      </w:pPr>
    </w:p>
    <w:p w14:paraId="1CE259DB">
      <w:pPr>
        <w:pStyle w:val="2"/>
        <w:rPr>
          <w:rFonts w:hint="eastAsia" w:ascii="仿宋" w:hAnsi="仿宋" w:eastAsia="仿宋" w:cs="仿宋"/>
          <w:sz w:val="22"/>
          <w:szCs w:val="22"/>
        </w:rPr>
      </w:pPr>
    </w:p>
    <w:p w14:paraId="6DFF26A6">
      <w:pPr>
        <w:pStyle w:val="2"/>
        <w:rPr>
          <w:rFonts w:hint="eastAsia" w:ascii="仿宋" w:hAnsi="仿宋" w:eastAsia="仿宋" w:cs="仿宋"/>
          <w:sz w:val="22"/>
          <w:szCs w:val="22"/>
        </w:rPr>
      </w:pPr>
    </w:p>
    <w:p w14:paraId="0EEFEFD5">
      <w:pPr>
        <w:pStyle w:val="2"/>
        <w:rPr>
          <w:rFonts w:hint="eastAsia" w:ascii="仿宋" w:hAnsi="仿宋" w:eastAsia="仿宋" w:cs="仿宋"/>
          <w:sz w:val="22"/>
          <w:szCs w:val="22"/>
        </w:rPr>
      </w:pPr>
    </w:p>
    <w:p w14:paraId="3CBFEDC9">
      <w:pPr>
        <w:pStyle w:val="2"/>
        <w:rPr>
          <w:rFonts w:hint="eastAsia" w:ascii="仿宋" w:hAnsi="仿宋" w:eastAsia="仿宋" w:cs="仿宋"/>
          <w:sz w:val="22"/>
          <w:szCs w:val="22"/>
        </w:rPr>
      </w:pPr>
    </w:p>
    <w:p w14:paraId="21A4263F">
      <w:pPr>
        <w:pStyle w:val="2"/>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51BB024C">
      <w:pPr>
        <w:pStyle w:val="2"/>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526D2D8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5E2BFD2F">
      <w:pPr>
        <w:spacing w:line="360" w:lineRule="auto"/>
        <w:rPr>
          <w:rFonts w:hint="eastAsia" w:ascii="仿宋" w:hAnsi="仿宋" w:eastAsia="仿宋" w:cs="仿宋"/>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bookmarkStart w:id="0" w:name="_GoBack"/>
      <w:bookmarkEnd w:id="0"/>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6C9AB30F">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lang w:val="en-US" w:eastAsia="zh-CN"/>
              </w:rPr>
              <w:t>★质保期：全柜整体质保期</w:t>
            </w:r>
            <w:r>
              <w:rPr>
                <w:rFonts w:hint="eastAsia" w:ascii="仿宋" w:hAnsi="仿宋" w:eastAsia="仿宋" w:cs="仿宋"/>
                <w:bCs/>
                <w:kern w:val="2"/>
                <w:sz w:val="20"/>
                <w:szCs w:val="20"/>
                <w:lang w:val="en-US" w:eastAsia="zh-CN"/>
              </w:rPr>
              <w:t>≥1</w:t>
            </w:r>
            <w:r>
              <w:rPr>
                <w:rFonts w:hint="default" w:ascii="仿宋" w:hAnsi="仿宋" w:eastAsia="仿宋" w:cs="仿宋"/>
                <w:bCs/>
                <w:kern w:val="2"/>
                <w:sz w:val="20"/>
                <w:szCs w:val="20"/>
                <w:lang w:val="en-US" w:eastAsia="zh-CN"/>
              </w:rPr>
              <w:t>年，五金锁具、柜体、漆面统一纳入质保范围。</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▲售后服务响应：提供7×24小时售后电话支持，接到故障报修后，2小时内响应，24小时内到场排查处理，全程免费维修、更换配件，确保不影响校区日常保洁工作开展。</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★交货时间：合同签订之日起 7 个日历日内，供方完成全部货物送达、现场就位等全部工作。</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★交货地点：南京大学仙林、鼓楼、浦口三校区。</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279890A6">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★付款方式：</w:t>
            </w:r>
          </w:p>
          <w:p w14:paraId="7F51073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859959A">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p w14:paraId="6FC03AE5">
            <w:pPr>
              <w:spacing w:line="280" w:lineRule="exact"/>
              <w:jc w:val="left"/>
              <w:rPr>
                <w:rFonts w:hint="eastAsia" w:ascii="仿宋" w:hAnsi="仿宋" w:eastAsia="仿宋" w:cs="仿宋"/>
                <w:bCs/>
                <w:kern w:val="2"/>
                <w:sz w:val="20"/>
                <w:szCs w:val="20"/>
                <w:lang w:val="en-US" w:eastAsia="zh-CN"/>
              </w:rPr>
            </w:pP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452D6E07">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★验收内容：</w:t>
            </w:r>
          </w:p>
          <w:p w14:paraId="70A151AA">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1538" w:type="dxa"/>
            <w:noWrap w:val="0"/>
            <w:vAlign w:val="center"/>
          </w:tcPr>
          <w:p w14:paraId="7C1D6F80">
            <w:pPr>
              <w:spacing w:line="280" w:lineRule="exact"/>
              <w:jc w:val="center"/>
              <w:rPr>
                <w:rFonts w:hint="eastAsia" w:ascii="仿宋" w:hAnsi="仿宋" w:eastAsia="仿宋" w:cs="仿宋"/>
                <w:sz w:val="20"/>
                <w:szCs w:val="20"/>
              </w:rPr>
            </w:pPr>
          </w:p>
        </w:tc>
        <w:tc>
          <w:tcPr>
            <w:tcW w:w="1205" w:type="dxa"/>
            <w:noWrap w:val="0"/>
            <w:vAlign w:val="center"/>
          </w:tcPr>
          <w:p w14:paraId="729EFFF9">
            <w:pPr>
              <w:spacing w:line="280" w:lineRule="exact"/>
              <w:jc w:val="center"/>
              <w:rPr>
                <w:rFonts w:hint="eastAsia" w:ascii="仿宋" w:hAnsi="仿宋" w:eastAsia="仿宋" w:cs="仿宋"/>
                <w:sz w:val="20"/>
                <w:szCs w:val="20"/>
              </w:rPr>
            </w:pPr>
          </w:p>
        </w:tc>
        <w:tc>
          <w:tcPr>
            <w:tcW w:w="1204"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3138A3E9">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★验收标准：</w:t>
            </w:r>
          </w:p>
          <w:p w14:paraId="0BF042D4">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（1）货物到达交货地点前，供应商应提前通知采购人组织验收。</w:t>
            </w:r>
          </w:p>
          <w:p w14:paraId="0632B6AD">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（2）货物到达交货地点后，采购人当场核对到货数量、柜体外形参数、主体用材、制作工艺，并查验质保卡等文件。</w:t>
            </w:r>
          </w:p>
          <w:p w14:paraId="20DDEAF0">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（3）所有货物配送到位、搬运、现场摆放就位，并完成现场清理后，需逐一检查柜体结构稳固程度，调试使用性能，全部检验合格后，方可进行最终验收。</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2"/>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2"/>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2"/>
      </w:pPr>
    </w:p>
    <w:p w14:paraId="4A6609B2">
      <w:pPr>
        <w:pStyle w:val="2"/>
      </w:pPr>
    </w:p>
    <w:p w14:paraId="3B997B72">
      <w:pPr>
        <w:pStyle w:val="2"/>
      </w:pPr>
    </w:p>
    <w:p w14:paraId="2F45C251">
      <w:pPr>
        <w:pStyle w:val="2"/>
      </w:pPr>
    </w:p>
    <w:p w14:paraId="1F43C56F">
      <w:pPr>
        <w:pStyle w:val="2"/>
      </w:pPr>
    </w:p>
    <w:p w14:paraId="02A1CEDD">
      <w:pPr>
        <w:pStyle w:val="2"/>
      </w:pPr>
    </w:p>
    <w:p w14:paraId="22D585AB">
      <w:pPr>
        <w:pStyle w:val="2"/>
      </w:pPr>
    </w:p>
    <w:p w14:paraId="4549493D">
      <w:pPr>
        <w:pStyle w:val="2"/>
      </w:pPr>
    </w:p>
    <w:p w14:paraId="292B5936">
      <w:pPr>
        <w:pStyle w:val="2"/>
      </w:pPr>
    </w:p>
    <w:p w14:paraId="76B95461">
      <w:pPr>
        <w:pStyle w:val="2"/>
      </w:pPr>
    </w:p>
    <w:p w14:paraId="0CB05C23">
      <w:pPr>
        <w:pStyle w:val="2"/>
      </w:pPr>
    </w:p>
    <w:p w14:paraId="64F45651">
      <w:pPr>
        <w:pStyle w:val="2"/>
      </w:pPr>
    </w:p>
    <w:p w14:paraId="09B02A09">
      <w:pPr>
        <w:pStyle w:val="2"/>
      </w:pPr>
    </w:p>
    <w:p w14:paraId="07945608">
      <w:pPr>
        <w:pStyle w:val="2"/>
      </w:pPr>
    </w:p>
    <w:p w14:paraId="08483EF3">
      <w:pPr>
        <w:pStyle w:val="2"/>
      </w:pPr>
    </w:p>
    <w:p w14:paraId="19BD881C">
      <w:pPr>
        <w:pStyle w:val="2"/>
      </w:pPr>
    </w:p>
    <w:p w14:paraId="1C0F9EAB">
      <w:pPr>
        <w:pStyle w:val="2"/>
      </w:pPr>
    </w:p>
    <w:p w14:paraId="53398400">
      <w:pPr>
        <w:pStyle w:val="2"/>
      </w:pPr>
    </w:p>
    <w:p w14:paraId="74DD36B0">
      <w:pPr>
        <w:pStyle w:val="2"/>
      </w:pPr>
    </w:p>
    <w:p w14:paraId="7373C19A">
      <w:pPr>
        <w:pStyle w:val="2"/>
      </w:pPr>
    </w:p>
    <w:p w14:paraId="355046C9">
      <w:pPr>
        <w:pStyle w:val="2"/>
      </w:pPr>
    </w:p>
    <w:p w14:paraId="74E75852">
      <w:pPr>
        <w:pStyle w:val="2"/>
      </w:pPr>
    </w:p>
    <w:p w14:paraId="16845CA6">
      <w:pPr>
        <w:spacing w:line="360" w:lineRule="auto"/>
        <w:jc w:val="both"/>
        <w:rPr>
          <w:rFonts w:hint="eastAsia" w:ascii="仿宋_GB2312" w:hAnsi="仿宋_GB2312" w:eastAsia="仿宋_GB2312"/>
          <w:b/>
          <w:bCs/>
          <w:sz w:val="36"/>
        </w:rPr>
      </w:pPr>
    </w:p>
    <w:p w14:paraId="0644D5B6">
      <w:pPr>
        <w:pStyle w:val="2"/>
        <w:rPr>
          <w:rFonts w:hint="eastAsia"/>
        </w:rPr>
      </w:pPr>
    </w:p>
    <w:p w14:paraId="30669665">
      <w:pPr>
        <w:pStyle w:val="2"/>
        <w:rPr>
          <w:rFonts w:hint="eastAsia"/>
        </w:rPr>
      </w:pPr>
    </w:p>
    <w:p w14:paraId="1754A93C">
      <w:pPr>
        <w:pStyle w:val="2"/>
        <w:rPr>
          <w:rFonts w:hint="eastAsia"/>
        </w:rPr>
      </w:pPr>
    </w:p>
    <w:p w14:paraId="145251CF">
      <w:pPr>
        <w:pStyle w:val="2"/>
        <w:rPr>
          <w:rFonts w:hint="eastAsia"/>
        </w:rPr>
      </w:pPr>
    </w:p>
    <w:p w14:paraId="5BB03057">
      <w:pPr>
        <w:pStyle w:val="2"/>
        <w:rPr>
          <w:rFonts w:hint="eastAsia"/>
        </w:rPr>
      </w:pPr>
    </w:p>
    <w:p w14:paraId="33C2B8B7">
      <w:pPr>
        <w:pStyle w:val="2"/>
        <w:rPr>
          <w:rFonts w:hint="eastAsia"/>
        </w:rPr>
      </w:pPr>
    </w:p>
    <w:p w14:paraId="658C9681">
      <w:pPr>
        <w:pStyle w:val="2"/>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4"/>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2"/>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5069"/>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2B8"/>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E1DC6"/>
    <w:rsid w:val="022033BD"/>
    <w:rsid w:val="02343E4F"/>
    <w:rsid w:val="02D04989"/>
    <w:rsid w:val="02DE0C76"/>
    <w:rsid w:val="02F8486D"/>
    <w:rsid w:val="03040CCD"/>
    <w:rsid w:val="03907B1A"/>
    <w:rsid w:val="03D943ED"/>
    <w:rsid w:val="04044B7B"/>
    <w:rsid w:val="04620A36"/>
    <w:rsid w:val="054E4D41"/>
    <w:rsid w:val="06497A35"/>
    <w:rsid w:val="06696CB1"/>
    <w:rsid w:val="067F0936"/>
    <w:rsid w:val="06DC0977"/>
    <w:rsid w:val="06F47958"/>
    <w:rsid w:val="06F840BA"/>
    <w:rsid w:val="0701580B"/>
    <w:rsid w:val="07291836"/>
    <w:rsid w:val="076572ED"/>
    <w:rsid w:val="082E31F3"/>
    <w:rsid w:val="085D01BB"/>
    <w:rsid w:val="08824884"/>
    <w:rsid w:val="08CB2746"/>
    <w:rsid w:val="08FA50E4"/>
    <w:rsid w:val="09104E34"/>
    <w:rsid w:val="09B13024"/>
    <w:rsid w:val="0AC460B7"/>
    <w:rsid w:val="0B090DAA"/>
    <w:rsid w:val="0B122D4B"/>
    <w:rsid w:val="0B646265"/>
    <w:rsid w:val="0BBC2506"/>
    <w:rsid w:val="0BCE727D"/>
    <w:rsid w:val="0BEA0098"/>
    <w:rsid w:val="0BF1626A"/>
    <w:rsid w:val="0C212B1E"/>
    <w:rsid w:val="0C2E6645"/>
    <w:rsid w:val="0C351053"/>
    <w:rsid w:val="0C534244"/>
    <w:rsid w:val="0CAA4DBE"/>
    <w:rsid w:val="0CBD16F5"/>
    <w:rsid w:val="0D204675"/>
    <w:rsid w:val="0E313657"/>
    <w:rsid w:val="0E46496B"/>
    <w:rsid w:val="0E8728A9"/>
    <w:rsid w:val="0E8B2DCD"/>
    <w:rsid w:val="0E8D0B30"/>
    <w:rsid w:val="0EDA6B97"/>
    <w:rsid w:val="0F222B14"/>
    <w:rsid w:val="0F403993"/>
    <w:rsid w:val="0F997FFE"/>
    <w:rsid w:val="104F3F68"/>
    <w:rsid w:val="10B63FE7"/>
    <w:rsid w:val="10D8319E"/>
    <w:rsid w:val="10F16DCD"/>
    <w:rsid w:val="10FB3C68"/>
    <w:rsid w:val="11140D0D"/>
    <w:rsid w:val="11D113C2"/>
    <w:rsid w:val="123218A4"/>
    <w:rsid w:val="12B75243"/>
    <w:rsid w:val="12DD6CF8"/>
    <w:rsid w:val="13220D35"/>
    <w:rsid w:val="1346162F"/>
    <w:rsid w:val="134B1013"/>
    <w:rsid w:val="13542B43"/>
    <w:rsid w:val="137912FC"/>
    <w:rsid w:val="14040CF5"/>
    <w:rsid w:val="145C7D16"/>
    <w:rsid w:val="14C33176"/>
    <w:rsid w:val="14D13334"/>
    <w:rsid w:val="15031585"/>
    <w:rsid w:val="15502E9C"/>
    <w:rsid w:val="155B17C7"/>
    <w:rsid w:val="158A56F8"/>
    <w:rsid w:val="15ED6EB7"/>
    <w:rsid w:val="15FC5020"/>
    <w:rsid w:val="16403346"/>
    <w:rsid w:val="16452E96"/>
    <w:rsid w:val="168461FE"/>
    <w:rsid w:val="16D307E2"/>
    <w:rsid w:val="1730195F"/>
    <w:rsid w:val="17483C7D"/>
    <w:rsid w:val="180B36BA"/>
    <w:rsid w:val="18105490"/>
    <w:rsid w:val="188E7629"/>
    <w:rsid w:val="189E7B72"/>
    <w:rsid w:val="18BA3C1F"/>
    <w:rsid w:val="18BB7AA9"/>
    <w:rsid w:val="19020937"/>
    <w:rsid w:val="19044F98"/>
    <w:rsid w:val="196440B8"/>
    <w:rsid w:val="199C02DC"/>
    <w:rsid w:val="19AE0E3D"/>
    <w:rsid w:val="19CF2E4C"/>
    <w:rsid w:val="19E27BFB"/>
    <w:rsid w:val="19FC5530"/>
    <w:rsid w:val="1A1837F3"/>
    <w:rsid w:val="1A1E6D69"/>
    <w:rsid w:val="1A6E493F"/>
    <w:rsid w:val="1A7E2606"/>
    <w:rsid w:val="1AA027BB"/>
    <w:rsid w:val="1B096967"/>
    <w:rsid w:val="1B304628"/>
    <w:rsid w:val="1B481CCF"/>
    <w:rsid w:val="1B531365"/>
    <w:rsid w:val="1C534DE0"/>
    <w:rsid w:val="1C92116A"/>
    <w:rsid w:val="1CB049EF"/>
    <w:rsid w:val="1CCD3C1B"/>
    <w:rsid w:val="1CFE50B1"/>
    <w:rsid w:val="1D217272"/>
    <w:rsid w:val="1D5057BB"/>
    <w:rsid w:val="1D7F5108"/>
    <w:rsid w:val="1D8A6B6F"/>
    <w:rsid w:val="1DD47E4B"/>
    <w:rsid w:val="1DEC57A6"/>
    <w:rsid w:val="1E1F57CD"/>
    <w:rsid w:val="1E413AA8"/>
    <w:rsid w:val="1E76533C"/>
    <w:rsid w:val="1E7931C4"/>
    <w:rsid w:val="1F163863"/>
    <w:rsid w:val="1F3D76D1"/>
    <w:rsid w:val="1F6E4073"/>
    <w:rsid w:val="1FBE56A1"/>
    <w:rsid w:val="1FF5625F"/>
    <w:rsid w:val="206261AF"/>
    <w:rsid w:val="207332DB"/>
    <w:rsid w:val="20BE2A44"/>
    <w:rsid w:val="20CD585E"/>
    <w:rsid w:val="211803A6"/>
    <w:rsid w:val="212154AC"/>
    <w:rsid w:val="21644AD8"/>
    <w:rsid w:val="21E029B7"/>
    <w:rsid w:val="21E83C8A"/>
    <w:rsid w:val="21FE64EE"/>
    <w:rsid w:val="221E41AF"/>
    <w:rsid w:val="22297C26"/>
    <w:rsid w:val="22553F99"/>
    <w:rsid w:val="22F964DC"/>
    <w:rsid w:val="234C23C0"/>
    <w:rsid w:val="23D70D5D"/>
    <w:rsid w:val="23E94A10"/>
    <w:rsid w:val="23F91212"/>
    <w:rsid w:val="24175420"/>
    <w:rsid w:val="24362377"/>
    <w:rsid w:val="245871C2"/>
    <w:rsid w:val="248A17F6"/>
    <w:rsid w:val="24AE615D"/>
    <w:rsid w:val="24C73E65"/>
    <w:rsid w:val="24D942F0"/>
    <w:rsid w:val="25077ECF"/>
    <w:rsid w:val="25082E0F"/>
    <w:rsid w:val="25214496"/>
    <w:rsid w:val="253A38FD"/>
    <w:rsid w:val="25520D64"/>
    <w:rsid w:val="25626093"/>
    <w:rsid w:val="25720777"/>
    <w:rsid w:val="257E5B91"/>
    <w:rsid w:val="25BA7C7E"/>
    <w:rsid w:val="25F10744"/>
    <w:rsid w:val="260E3FFB"/>
    <w:rsid w:val="260F1419"/>
    <w:rsid w:val="26274D25"/>
    <w:rsid w:val="26290229"/>
    <w:rsid w:val="26733A9C"/>
    <w:rsid w:val="267F0C45"/>
    <w:rsid w:val="26F03ABB"/>
    <w:rsid w:val="26FE086B"/>
    <w:rsid w:val="27980803"/>
    <w:rsid w:val="27AA58C6"/>
    <w:rsid w:val="27E61803"/>
    <w:rsid w:val="27E70A99"/>
    <w:rsid w:val="287B193C"/>
    <w:rsid w:val="28975DA4"/>
    <w:rsid w:val="28A36273"/>
    <w:rsid w:val="28B60452"/>
    <w:rsid w:val="28C26704"/>
    <w:rsid w:val="28D958E9"/>
    <w:rsid w:val="29830BB3"/>
    <w:rsid w:val="298E3AB4"/>
    <w:rsid w:val="29F93B7E"/>
    <w:rsid w:val="29FF7361"/>
    <w:rsid w:val="2A473337"/>
    <w:rsid w:val="2A743136"/>
    <w:rsid w:val="2AB624C2"/>
    <w:rsid w:val="2AF93390"/>
    <w:rsid w:val="2B0D4CF3"/>
    <w:rsid w:val="2B2008F3"/>
    <w:rsid w:val="2C5C7914"/>
    <w:rsid w:val="2C6E757B"/>
    <w:rsid w:val="2CBA592E"/>
    <w:rsid w:val="2CFF3C04"/>
    <w:rsid w:val="2D121481"/>
    <w:rsid w:val="2D1759B5"/>
    <w:rsid w:val="2D892209"/>
    <w:rsid w:val="2DCB765C"/>
    <w:rsid w:val="2E1B1F89"/>
    <w:rsid w:val="2E642E7C"/>
    <w:rsid w:val="2E6764C9"/>
    <w:rsid w:val="2E6C2B65"/>
    <w:rsid w:val="2EA73A95"/>
    <w:rsid w:val="2F0F5433"/>
    <w:rsid w:val="2F110F46"/>
    <w:rsid w:val="2FAA2B11"/>
    <w:rsid w:val="2FCB7E61"/>
    <w:rsid w:val="2FE37DD1"/>
    <w:rsid w:val="302E00A6"/>
    <w:rsid w:val="305A62E5"/>
    <w:rsid w:val="31015A6F"/>
    <w:rsid w:val="311526EE"/>
    <w:rsid w:val="311A5F42"/>
    <w:rsid w:val="312F6D42"/>
    <w:rsid w:val="31300F41"/>
    <w:rsid w:val="31B30C20"/>
    <w:rsid w:val="31CA113F"/>
    <w:rsid w:val="31FD6E89"/>
    <w:rsid w:val="32056A82"/>
    <w:rsid w:val="322B515B"/>
    <w:rsid w:val="324E75E7"/>
    <w:rsid w:val="329406B8"/>
    <w:rsid w:val="32B57170"/>
    <w:rsid w:val="32F66BC8"/>
    <w:rsid w:val="331442B8"/>
    <w:rsid w:val="33280920"/>
    <w:rsid w:val="33513918"/>
    <w:rsid w:val="33556074"/>
    <w:rsid w:val="335F6FD7"/>
    <w:rsid w:val="33684842"/>
    <w:rsid w:val="33870019"/>
    <w:rsid w:val="34022063"/>
    <w:rsid w:val="34A07C25"/>
    <w:rsid w:val="34E844EF"/>
    <w:rsid w:val="35625CB1"/>
    <w:rsid w:val="358F6F80"/>
    <w:rsid w:val="359B6AF0"/>
    <w:rsid w:val="35B44A00"/>
    <w:rsid w:val="35D26A5B"/>
    <w:rsid w:val="35DB414D"/>
    <w:rsid w:val="35FD303D"/>
    <w:rsid w:val="360A2438"/>
    <w:rsid w:val="36131560"/>
    <w:rsid w:val="362D006F"/>
    <w:rsid w:val="36542B9B"/>
    <w:rsid w:val="368046BC"/>
    <w:rsid w:val="368162C1"/>
    <w:rsid w:val="36A057BB"/>
    <w:rsid w:val="36C720A4"/>
    <w:rsid w:val="36D40DB0"/>
    <w:rsid w:val="37042751"/>
    <w:rsid w:val="371A419D"/>
    <w:rsid w:val="375B0AE1"/>
    <w:rsid w:val="37BC7880"/>
    <w:rsid w:val="37F244D7"/>
    <w:rsid w:val="380B6117"/>
    <w:rsid w:val="385524A9"/>
    <w:rsid w:val="387B7C35"/>
    <w:rsid w:val="388749CB"/>
    <w:rsid w:val="389D4DE2"/>
    <w:rsid w:val="38CC1C3C"/>
    <w:rsid w:val="393A4A99"/>
    <w:rsid w:val="39764653"/>
    <w:rsid w:val="39810D86"/>
    <w:rsid w:val="398C131E"/>
    <w:rsid w:val="39EE3E95"/>
    <w:rsid w:val="3A674ABB"/>
    <w:rsid w:val="3A920212"/>
    <w:rsid w:val="3AA4054B"/>
    <w:rsid w:val="3AB1777F"/>
    <w:rsid w:val="3AC577F8"/>
    <w:rsid w:val="3AFB7038"/>
    <w:rsid w:val="3B00431D"/>
    <w:rsid w:val="3B2A6F08"/>
    <w:rsid w:val="3B3479AB"/>
    <w:rsid w:val="3B4B4CDD"/>
    <w:rsid w:val="3B8701AA"/>
    <w:rsid w:val="3BB60406"/>
    <w:rsid w:val="3C3928D5"/>
    <w:rsid w:val="3C99647A"/>
    <w:rsid w:val="3CBA2232"/>
    <w:rsid w:val="3D213E90"/>
    <w:rsid w:val="3DA4025B"/>
    <w:rsid w:val="3DB114C5"/>
    <w:rsid w:val="3E1451A0"/>
    <w:rsid w:val="3E4C1002"/>
    <w:rsid w:val="3E6A4028"/>
    <w:rsid w:val="3E7519AB"/>
    <w:rsid w:val="3EE70836"/>
    <w:rsid w:val="3F2036EE"/>
    <w:rsid w:val="3F5462F2"/>
    <w:rsid w:val="3FC30892"/>
    <w:rsid w:val="3FF30B2F"/>
    <w:rsid w:val="3FF33F15"/>
    <w:rsid w:val="400D7D93"/>
    <w:rsid w:val="404219BA"/>
    <w:rsid w:val="4070688B"/>
    <w:rsid w:val="40C24AD6"/>
    <w:rsid w:val="40EC4DEE"/>
    <w:rsid w:val="4139520E"/>
    <w:rsid w:val="41D1611A"/>
    <w:rsid w:val="41DC630A"/>
    <w:rsid w:val="42066E88"/>
    <w:rsid w:val="42787474"/>
    <w:rsid w:val="42A012DD"/>
    <w:rsid w:val="4329772D"/>
    <w:rsid w:val="432A3AEC"/>
    <w:rsid w:val="433C29B6"/>
    <w:rsid w:val="436F0A2C"/>
    <w:rsid w:val="437D46D3"/>
    <w:rsid w:val="43837BF3"/>
    <w:rsid w:val="43B609AD"/>
    <w:rsid w:val="43CA03C9"/>
    <w:rsid w:val="43E15EC3"/>
    <w:rsid w:val="440F4D37"/>
    <w:rsid w:val="4410632B"/>
    <w:rsid w:val="445C4E37"/>
    <w:rsid w:val="44AC48CF"/>
    <w:rsid w:val="44FC5BF6"/>
    <w:rsid w:val="4515367E"/>
    <w:rsid w:val="452C1C8C"/>
    <w:rsid w:val="45CF1069"/>
    <w:rsid w:val="46633E5E"/>
    <w:rsid w:val="4686391A"/>
    <w:rsid w:val="46A90693"/>
    <w:rsid w:val="46C67DA0"/>
    <w:rsid w:val="46CD5B35"/>
    <w:rsid w:val="46F459F4"/>
    <w:rsid w:val="46F64735"/>
    <w:rsid w:val="46FF32EA"/>
    <w:rsid w:val="475A449F"/>
    <w:rsid w:val="478607E6"/>
    <w:rsid w:val="47A63299"/>
    <w:rsid w:val="47AD1BF8"/>
    <w:rsid w:val="47FB7F56"/>
    <w:rsid w:val="48004C2D"/>
    <w:rsid w:val="48031435"/>
    <w:rsid w:val="486215CF"/>
    <w:rsid w:val="48816CAD"/>
    <w:rsid w:val="48BC6665"/>
    <w:rsid w:val="48C76BF4"/>
    <w:rsid w:val="48DF721E"/>
    <w:rsid w:val="48E21116"/>
    <w:rsid w:val="490613C9"/>
    <w:rsid w:val="49276B29"/>
    <w:rsid w:val="49301E81"/>
    <w:rsid w:val="49351B37"/>
    <w:rsid w:val="494B0A69"/>
    <w:rsid w:val="49695393"/>
    <w:rsid w:val="49C27E46"/>
    <w:rsid w:val="49C8030C"/>
    <w:rsid w:val="49D02FE5"/>
    <w:rsid w:val="49D822B4"/>
    <w:rsid w:val="49E12138"/>
    <w:rsid w:val="4A0F498D"/>
    <w:rsid w:val="4A686320"/>
    <w:rsid w:val="4A6B1DC9"/>
    <w:rsid w:val="4A83274D"/>
    <w:rsid w:val="4AA61C10"/>
    <w:rsid w:val="4AB13AFF"/>
    <w:rsid w:val="4B491944"/>
    <w:rsid w:val="4B59667D"/>
    <w:rsid w:val="4B5F07FC"/>
    <w:rsid w:val="4B7661E4"/>
    <w:rsid w:val="4C4446EF"/>
    <w:rsid w:val="4C6F3264"/>
    <w:rsid w:val="4C8D0224"/>
    <w:rsid w:val="4CD75811"/>
    <w:rsid w:val="4CFB26C0"/>
    <w:rsid w:val="4D123D00"/>
    <w:rsid w:val="4D471771"/>
    <w:rsid w:val="4D5B06BC"/>
    <w:rsid w:val="4D77070B"/>
    <w:rsid w:val="4D8B18D1"/>
    <w:rsid w:val="4D906B4D"/>
    <w:rsid w:val="4DEB17E5"/>
    <w:rsid w:val="4E2E1930"/>
    <w:rsid w:val="4E4F796E"/>
    <w:rsid w:val="4ECA2430"/>
    <w:rsid w:val="4ED81994"/>
    <w:rsid w:val="4F92779E"/>
    <w:rsid w:val="4FA113E3"/>
    <w:rsid w:val="4FF60775"/>
    <w:rsid w:val="502F34BB"/>
    <w:rsid w:val="503E2F33"/>
    <w:rsid w:val="504428BE"/>
    <w:rsid w:val="506B2685"/>
    <w:rsid w:val="50943942"/>
    <w:rsid w:val="51403B6E"/>
    <w:rsid w:val="51623003"/>
    <w:rsid w:val="51BD5F37"/>
    <w:rsid w:val="51BE0D94"/>
    <w:rsid w:val="52037724"/>
    <w:rsid w:val="52100317"/>
    <w:rsid w:val="52792D2F"/>
    <w:rsid w:val="52A96FA4"/>
    <w:rsid w:val="52E11A47"/>
    <w:rsid w:val="531C4DAC"/>
    <w:rsid w:val="53590226"/>
    <w:rsid w:val="535F1397"/>
    <w:rsid w:val="539A62D6"/>
    <w:rsid w:val="53CC15AA"/>
    <w:rsid w:val="54472F7E"/>
    <w:rsid w:val="54D620C6"/>
    <w:rsid w:val="5527238A"/>
    <w:rsid w:val="554D361A"/>
    <w:rsid w:val="554E6B03"/>
    <w:rsid w:val="55F14746"/>
    <w:rsid w:val="55F86DFD"/>
    <w:rsid w:val="56186177"/>
    <w:rsid w:val="561D0456"/>
    <w:rsid w:val="56616849"/>
    <w:rsid w:val="566B62A7"/>
    <w:rsid w:val="56750AE4"/>
    <w:rsid w:val="56B802D4"/>
    <w:rsid w:val="56C90DDF"/>
    <w:rsid w:val="5714192E"/>
    <w:rsid w:val="57CA6046"/>
    <w:rsid w:val="57E65061"/>
    <w:rsid w:val="58254826"/>
    <w:rsid w:val="582F759C"/>
    <w:rsid w:val="58791C73"/>
    <w:rsid w:val="58920E5F"/>
    <w:rsid w:val="58E0315C"/>
    <w:rsid w:val="59301E5D"/>
    <w:rsid w:val="59440C82"/>
    <w:rsid w:val="59540F1D"/>
    <w:rsid w:val="595F18C0"/>
    <w:rsid w:val="597E4463"/>
    <w:rsid w:val="59AC3AB2"/>
    <w:rsid w:val="59AF1DFA"/>
    <w:rsid w:val="5A043401"/>
    <w:rsid w:val="5A6514E8"/>
    <w:rsid w:val="5ABE04EF"/>
    <w:rsid w:val="5ADD7AB6"/>
    <w:rsid w:val="5B0A4D6B"/>
    <w:rsid w:val="5B1D1788"/>
    <w:rsid w:val="5B212D92"/>
    <w:rsid w:val="5BF40AEC"/>
    <w:rsid w:val="5BFD0E7B"/>
    <w:rsid w:val="5C135D05"/>
    <w:rsid w:val="5C764A62"/>
    <w:rsid w:val="5C891B7C"/>
    <w:rsid w:val="5C8E2CEF"/>
    <w:rsid w:val="5C9A4778"/>
    <w:rsid w:val="5CAF0C9F"/>
    <w:rsid w:val="5CC33F0A"/>
    <w:rsid w:val="5D2E729C"/>
    <w:rsid w:val="5D8D1DE0"/>
    <w:rsid w:val="5D9C7014"/>
    <w:rsid w:val="5DA77BB2"/>
    <w:rsid w:val="5DFF1DD2"/>
    <w:rsid w:val="5E425832"/>
    <w:rsid w:val="5E883DBE"/>
    <w:rsid w:val="5EA031AD"/>
    <w:rsid w:val="5ED51227"/>
    <w:rsid w:val="5EE16EB0"/>
    <w:rsid w:val="5EEE3F19"/>
    <w:rsid w:val="5EFD415C"/>
    <w:rsid w:val="5F3062DF"/>
    <w:rsid w:val="5F39504E"/>
    <w:rsid w:val="5F781A34"/>
    <w:rsid w:val="5F9B6EC2"/>
    <w:rsid w:val="5FF732A1"/>
    <w:rsid w:val="6023357A"/>
    <w:rsid w:val="606C7D42"/>
    <w:rsid w:val="60790EC0"/>
    <w:rsid w:val="60847A10"/>
    <w:rsid w:val="60867FEA"/>
    <w:rsid w:val="60C26B4A"/>
    <w:rsid w:val="60EF4DCF"/>
    <w:rsid w:val="613D594C"/>
    <w:rsid w:val="61954924"/>
    <w:rsid w:val="61DF7FD2"/>
    <w:rsid w:val="61E55288"/>
    <w:rsid w:val="62074C63"/>
    <w:rsid w:val="62165F89"/>
    <w:rsid w:val="623E513D"/>
    <w:rsid w:val="624B1238"/>
    <w:rsid w:val="62B62164"/>
    <w:rsid w:val="62B73860"/>
    <w:rsid w:val="62BF377C"/>
    <w:rsid w:val="62D936D5"/>
    <w:rsid w:val="63026180"/>
    <w:rsid w:val="634C55B9"/>
    <w:rsid w:val="638031CB"/>
    <w:rsid w:val="63A35141"/>
    <w:rsid w:val="63A84648"/>
    <w:rsid w:val="6443678C"/>
    <w:rsid w:val="6471114E"/>
    <w:rsid w:val="64AC2938"/>
    <w:rsid w:val="64C16D8E"/>
    <w:rsid w:val="64D0042D"/>
    <w:rsid w:val="64FB6666"/>
    <w:rsid w:val="655B17D7"/>
    <w:rsid w:val="65714F6D"/>
    <w:rsid w:val="65B5316B"/>
    <w:rsid w:val="65E40437"/>
    <w:rsid w:val="65FF44E4"/>
    <w:rsid w:val="6602164A"/>
    <w:rsid w:val="660D52D7"/>
    <w:rsid w:val="661D4CF5"/>
    <w:rsid w:val="66402D4F"/>
    <w:rsid w:val="66533F6E"/>
    <w:rsid w:val="668D04BB"/>
    <w:rsid w:val="66BB049A"/>
    <w:rsid w:val="670F0BE0"/>
    <w:rsid w:val="671A4ED2"/>
    <w:rsid w:val="6761234C"/>
    <w:rsid w:val="6764762E"/>
    <w:rsid w:val="678533DE"/>
    <w:rsid w:val="67C411C3"/>
    <w:rsid w:val="67CF069A"/>
    <w:rsid w:val="67E1027C"/>
    <w:rsid w:val="67F07B5B"/>
    <w:rsid w:val="68243ABF"/>
    <w:rsid w:val="68464643"/>
    <w:rsid w:val="698450AA"/>
    <w:rsid w:val="69856658"/>
    <w:rsid w:val="6A1A1F1D"/>
    <w:rsid w:val="6A293639"/>
    <w:rsid w:val="6A3D5BDA"/>
    <w:rsid w:val="6A5512F0"/>
    <w:rsid w:val="6A78665E"/>
    <w:rsid w:val="6AE74381"/>
    <w:rsid w:val="6B397730"/>
    <w:rsid w:val="6B6537B4"/>
    <w:rsid w:val="6B87759B"/>
    <w:rsid w:val="6B892397"/>
    <w:rsid w:val="6BAB2FA1"/>
    <w:rsid w:val="6BC228D5"/>
    <w:rsid w:val="6BCB6740"/>
    <w:rsid w:val="6C9D6941"/>
    <w:rsid w:val="6C9E6F7E"/>
    <w:rsid w:val="6CD30C48"/>
    <w:rsid w:val="6D23212A"/>
    <w:rsid w:val="6D394EF9"/>
    <w:rsid w:val="6D4E5D12"/>
    <w:rsid w:val="6D5E4882"/>
    <w:rsid w:val="6DA22A9E"/>
    <w:rsid w:val="6DA70FF2"/>
    <w:rsid w:val="6E51148A"/>
    <w:rsid w:val="6E6639AE"/>
    <w:rsid w:val="6E7C43E3"/>
    <w:rsid w:val="6EE67BF2"/>
    <w:rsid w:val="6EFA4222"/>
    <w:rsid w:val="6EFC477F"/>
    <w:rsid w:val="6F2B52F1"/>
    <w:rsid w:val="6F4B4B47"/>
    <w:rsid w:val="6F6325CC"/>
    <w:rsid w:val="6F7638B3"/>
    <w:rsid w:val="6F7B6582"/>
    <w:rsid w:val="6F80797E"/>
    <w:rsid w:val="6F912DCA"/>
    <w:rsid w:val="6FCE7B7A"/>
    <w:rsid w:val="701F3D7E"/>
    <w:rsid w:val="70716381"/>
    <w:rsid w:val="70F91769"/>
    <w:rsid w:val="712325AD"/>
    <w:rsid w:val="7134515D"/>
    <w:rsid w:val="7171012E"/>
    <w:rsid w:val="72A2054B"/>
    <w:rsid w:val="72B41A3F"/>
    <w:rsid w:val="72B91454"/>
    <w:rsid w:val="72F356B5"/>
    <w:rsid w:val="72F878BD"/>
    <w:rsid w:val="731E657B"/>
    <w:rsid w:val="73904ACB"/>
    <w:rsid w:val="73B02AF8"/>
    <w:rsid w:val="73B06178"/>
    <w:rsid w:val="74065015"/>
    <w:rsid w:val="741458A8"/>
    <w:rsid w:val="74157F65"/>
    <w:rsid w:val="748F2705"/>
    <w:rsid w:val="74B60BDD"/>
    <w:rsid w:val="74D21440"/>
    <w:rsid w:val="74D57470"/>
    <w:rsid w:val="752A5F89"/>
    <w:rsid w:val="755D5C2B"/>
    <w:rsid w:val="756E47CA"/>
    <w:rsid w:val="75731C89"/>
    <w:rsid w:val="75B71377"/>
    <w:rsid w:val="75CE4A51"/>
    <w:rsid w:val="75F417DC"/>
    <w:rsid w:val="76E83F7B"/>
    <w:rsid w:val="76EF4389"/>
    <w:rsid w:val="76FA7C78"/>
    <w:rsid w:val="76FF32C8"/>
    <w:rsid w:val="77185B7F"/>
    <w:rsid w:val="771E02F9"/>
    <w:rsid w:val="779B6E98"/>
    <w:rsid w:val="77D90A2D"/>
    <w:rsid w:val="78476152"/>
    <w:rsid w:val="785F068D"/>
    <w:rsid w:val="7860333A"/>
    <w:rsid w:val="78622F0F"/>
    <w:rsid w:val="788C1D9C"/>
    <w:rsid w:val="78970DCC"/>
    <w:rsid w:val="791436D9"/>
    <w:rsid w:val="797152CB"/>
    <w:rsid w:val="797D0571"/>
    <w:rsid w:val="797E1B0E"/>
    <w:rsid w:val="79C008CD"/>
    <w:rsid w:val="79C6605A"/>
    <w:rsid w:val="79E10F84"/>
    <w:rsid w:val="7A0E692C"/>
    <w:rsid w:val="7A40469E"/>
    <w:rsid w:val="7A577274"/>
    <w:rsid w:val="7A5D61CD"/>
    <w:rsid w:val="7A68455E"/>
    <w:rsid w:val="7A767D07"/>
    <w:rsid w:val="7A8F4231"/>
    <w:rsid w:val="7AE56F93"/>
    <w:rsid w:val="7B1F7151"/>
    <w:rsid w:val="7B4A6771"/>
    <w:rsid w:val="7B7B2F22"/>
    <w:rsid w:val="7BD865C1"/>
    <w:rsid w:val="7BF5672D"/>
    <w:rsid w:val="7C4D0079"/>
    <w:rsid w:val="7C623126"/>
    <w:rsid w:val="7C8B61BE"/>
    <w:rsid w:val="7C8D434B"/>
    <w:rsid w:val="7C9B7036"/>
    <w:rsid w:val="7CBB4DB2"/>
    <w:rsid w:val="7CF01299"/>
    <w:rsid w:val="7D036989"/>
    <w:rsid w:val="7D1F5752"/>
    <w:rsid w:val="7D435A68"/>
    <w:rsid w:val="7DAC4789"/>
    <w:rsid w:val="7E1F54F4"/>
    <w:rsid w:val="7E6B1276"/>
    <w:rsid w:val="7E795A6A"/>
    <w:rsid w:val="7ED357CA"/>
    <w:rsid w:val="7EE97656"/>
    <w:rsid w:val="7F21759B"/>
    <w:rsid w:val="7F563EA0"/>
    <w:rsid w:val="7F5F5006"/>
    <w:rsid w:val="7F657A81"/>
    <w:rsid w:val="7F782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annotation text"/>
    <w:basedOn w:val="1"/>
    <w:link w:val="29"/>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6"/>
    <w:qFormat/>
    <w:uiPriority w:val="0"/>
    <w:rPr>
      <w:rFonts w:ascii="宋体" w:hAnsi="Courier New"/>
      <w:szCs w:val="21"/>
    </w:rPr>
  </w:style>
  <w:style w:type="paragraph" w:styleId="7">
    <w:name w:val="Body Text Indent 2"/>
    <w:basedOn w:val="1"/>
    <w:link w:val="31"/>
    <w:qFormat/>
    <w:uiPriority w:val="0"/>
    <w:pPr>
      <w:ind w:firstLine="482" w:firstLineChars="200"/>
    </w:pPr>
    <w:rPr>
      <w:rFonts w:ascii="宋体"/>
      <w:b/>
      <w:bCs/>
      <w:sz w:val="24"/>
    </w:rPr>
  </w:style>
  <w:style w:type="paragraph" w:styleId="8">
    <w:name w:val="Balloon Text"/>
    <w:basedOn w:val="1"/>
    <w:link w:val="25"/>
    <w:qFormat/>
    <w:uiPriority w:val="0"/>
    <w:rPr>
      <w:sz w:val="18"/>
      <w:szCs w:val="18"/>
    </w:rPr>
  </w:style>
  <w:style w:type="paragraph" w:styleId="9">
    <w:name w:val="footer"/>
    <w:basedOn w:val="1"/>
    <w:link w:val="3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2"/>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30"/>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批注框文本 字符"/>
    <w:basedOn w:val="18"/>
    <w:link w:val="8"/>
    <w:qFormat/>
    <w:uiPriority w:val="0"/>
    <w:rPr>
      <w:kern w:val="2"/>
      <w:sz w:val="18"/>
      <w:szCs w:val="18"/>
    </w:rPr>
  </w:style>
  <w:style w:type="character" w:customStyle="1" w:styleId="26">
    <w:name w:val="纯文本 字符"/>
    <w:basedOn w:val="18"/>
    <w:link w:val="6"/>
    <w:qFormat/>
    <w:uiPriority w:val="0"/>
    <w:rPr>
      <w:rFonts w:ascii="宋体" w:hAnsi="Courier New"/>
      <w:kern w:val="2"/>
      <w:sz w:val="21"/>
      <w:szCs w:val="21"/>
    </w:rPr>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字符"/>
    <w:basedOn w:val="18"/>
    <w:link w:val="4"/>
    <w:qFormat/>
    <w:uiPriority w:val="0"/>
    <w:rPr>
      <w:kern w:val="2"/>
      <w:sz w:val="21"/>
      <w:szCs w:val="24"/>
    </w:rPr>
  </w:style>
  <w:style w:type="character" w:customStyle="1" w:styleId="30">
    <w:name w:val="批注主题 字符"/>
    <w:basedOn w:val="29"/>
    <w:link w:val="15"/>
    <w:semiHidden/>
    <w:qFormat/>
    <w:uiPriority w:val="0"/>
    <w:rPr>
      <w:b/>
      <w:bCs/>
      <w:kern w:val="2"/>
      <w:sz w:val="21"/>
      <w:szCs w:val="24"/>
    </w:rPr>
  </w:style>
  <w:style w:type="character" w:customStyle="1" w:styleId="31">
    <w:name w:val="正文文本缩进 2 字符"/>
    <w:basedOn w:val="18"/>
    <w:link w:val="7"/>
    <w:qFormat/>
    <w:uiPriority w:val="0"/>
    <w:rPr>
      <w:rFonts w:ascii="宋体"/>
      <w:b/>
      <w:bCs/>
      <w:kern w:val="2"/>
      <w:sz w:val="24"/>
      <w:szCs w:val="24"/>
    </w:rPr>
  </w:style>
  <w:style w:type="character" w:customStyle="1" w:styleId="32">
    <w:name w:val="脚注文本 字符"/>
    <w:basedOn w:val="18"/>
    <w:link w:val="12"/>
    <w:semiHidden/>
    <w:qFormat/>
    <w:uiPriority w:val="0"/>
    <w:rPr>
      <w:kern w:val="2"/>
      <w:sz w:val="18"/>
      <w:szCs w:val="18"/>
    </w:rPr>
  </w:style>
  <w:style w:type="character" w:customStyle="1" w:styleId="33">
    <w:name w:val="页脚 字符"/>
    <w:basedOn w:val="18"/>
    <w:link w:val="9"/>
    <w:qFormat/>
    <w:uiPriority w:val="99"/>
    <w:rPr>
      <w:kern w:val="2"/>
      <w:sz w:val="18"/>
      <w:szCs w:val="18"/>
    </w:rPr>
  </w:style>
  <w:style w:type="character" w:customStyle="1" w:styleId="34">
    <w:name w:val="标题 1 字符"/>
    <w:basedOn w:val="18"/>
    <w:link w:val="3"/>
    <w:qFormat/>
    <w:uiPriority w:val="0"/>
    <w:rPr>
      <w:b/>
      <w:bCs/>
      <w:kern w:val="44"/>
      <w:sz w:val="44"/>
      <w:szCs w:val="44"/>
    </w:rPr>
  </w:style>
  <w:style w:type="paragraph" w:customStyle="1" w:styleId="35">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6">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6511</Words>
  <Characters>6660</Characters>
  <Lines>72</Lines>
  <Paragraphs>20</Paragraphs>
  <TotalTime>2</TotalTime>
  <ScaleCrop>false</ScaleCrop>
  <LinksUpToDate>false</LinksUpToDate>
  <CharactersWithSpaces>6730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2026-06-16T10:50:05Z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B8D55BA6B73B4A70A00A44E46E89CF30_13</vt:lpwstr>
  </property>
  <property fmtid="{D5CDD505-2E9C-101B-9397-08002B2CF9AE}" pid="4" name="KSOTemplateDocerSaveRecord">
    <vt:lpwstr>eyJoZGlkIjoiY2U3YTBmYzk4NzhjZDM0YzBmOTlmYTljMGJmM2ZkNjUiLCJ1c2VySWQiOiI2OTY3MDAyODYifQ==</vt:lpwstr>
  </property>
</Properties>
</file>