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90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膳食中心鼓楼校区除渣隔油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及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提升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设备</w:t>
      </w:r>
    </w:p>
    <w:p w14:paraId="19F21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维修保养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内容及要求</w:t>
      </w:r>
    </w:p>
    <w:p w14:paraId="6DEF5EF4">
      <w:pPr>
        <w:spacing w:line="520" w:lineRule="exac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5564591C">
      <w:pPr>
        <w:spacing w:line="520" w:lineRule="exact"/>
        <w:ind w:firstLine="422" w:firstLineChars="200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一、维护基本服务内容：</w:t>
      </w:r>
    </w:p>
    <w:p w14:paraId="1CA5E72D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1、设备的常规保养；</w:t>
      </w:r>
    </w:p>
    <w:p w14:paraId="761E1E0A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2、设备故障分析和排除；</w:t>
      </w:r>
    </w:p>
    <w:p w14:paraId="35256B30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3、设备拆卸、维修、装配、测试、配件更换等；</w:t>
      </w:r>
    </w:p>
    <w:p w14:paraId="3F924518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4、水泵的机封更换及水泵的排放处理；</w:t>
      </w:r>
    </w:p>
    <w:p w14:paraId="4B12B03D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5、设备运行安全调整；</w:t>
      </w:r>
    </w:p>
    <w:p w14:paraId="4BB5E2CE">
      <w:pPr>
        <w:numPr>
          <w:ilvl w:val="0"/>
          <w:numId w:val="1"/>
        </w:num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电机烧毁需安装调试正常；</w:t>
      </w:r>
    </w:p>
    <w:p w14:paraId="7273C75F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7、除渣系统维护保养；</w:t>
      </w:r>
    </w:p>
    <w:p w14:paraId="6B794305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8、万向导流器系统维护及保养；</w:t>
      </w:r>
    </w:p>
    <w:p w14:paraId="061F9FA5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9、电控柜及设备电源线维护及保养；</w:t>
      </w:r>
    </w:p>
    <w:p w14:paraId="45E06CEB">
      <w:pPr>
        <w:spacing w:line="600" w:lineRule="exact"/>
        <w:ind w:left="520"/>
        <w:rPr>
          <w:rFonts w:hint="eastAsia" w:ascii="仿宋" w:hAnsi="仿宋" w:eastAsia="仿宋" w:cs="仿宋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10、光电行程开关系统维护保养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。</w:t>
      </w:r>
    </w:p>
    <w:p w14:paraId="25CEADC5">
      <w:pPr>
        <w:spacing w:line="520" w:lineRule="exact"/>
        <w:ind w:firstLine="422" w:firstLineChars="200"/>
        <w:rPr>
          <w:rFonts w:hint="default" w:ascii="仿宋" w:hAnsi="仿宋" w:eastAsia="仿宋" w:cs="仿宋"/>
          <w:b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二、维护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工作要求：</w:t>
      </w:r>
    </w:p>
    <w:p w14:paraId="14CA7811">
      <w:pPr>
        <w:spacing w:line="520" w:lineRule="exact"/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1、除渣区维护清理每月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</w:t>
      </w:r>
      <w:r>
        <w:rPr>
          <w:rFonts w:hint="eastAsia" w:ascii="仿宋" w:hAnsi="仿宋" w:eastAsia="仿宋" w:cs="仿宋"/>
          <w:sz w:val="21"/>
          <w:szCs w:val="21"/>
        </w:rPr>
        <w:t>次；隔油区日常放油每月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4-6</w:t>
      </w:r>
      <w:r>
        <w:rPr>
          <w:rFonts w:hint="eastAsia" w:ascii="仿宋" w:hAnsi="仿宋" w:eastAsia="仿宋" w:cs="仿宋"/>
          <w:sz w:val="21"/>
          <w:szCs w:val="21"/>
        </w:rPr>
        <w:t>次；设备表面及场地清理每月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</w:t>
      </w:r>
      <w:r>
        <w:rPr>
          <w:rFonts w:hint="eastAsia" w:ascii="仿宋" w:hAnsi="仿宋" w:eastAsia="仿宋" w:cs="仿宋"/>
          <w:sz w:val="21"/>
          <w:szCs w:val="21"/>
        </w:rPr>
        <w:t>次。</w:t>
      </w:r>
    </w:p>
    <w:p w14:paraId="2ED0F2D5">
      <w:pPr>
        <w:spacing w:line="520" w:lineRule="exact"/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2、废油回收每月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4-6</w:t>
      </w:r>
      <w:r>
        <w:rPr>
          <w:rFonts w:hint="eastAsia" w:ascii="仿宋" w:hAnsi="仿宋" w:eastAsia="仿宋" w:cs="仿宋"/>
          <w:sz w:val="21"/>
          <w:szCs w:val="21"/>
        </w:rPr>
        <w:t>次。</w:t>
      </w:r>
    </w:p>
    <w:p w14:paraId="2F50730F">
      <w:pPr>
        <w:spacing w:line="520" w:lineRule="exact"/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 xml:space="preserve">3、日常维护每月例行检查并维护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4</w:t>
      </w:r>
      <w:r>
        <w:rPr>
          <w:rFonts w:hint="eastAsia" w:ascii="仿宋" w:hAnsi="仿宋" w:eastAsia="仿宋" w:cs="仿宋"/>
          <w:sz w:val="21"/>
          <w:szCs w:val="21"/>
        </w:rPr>
        <w:t>次，万向导流器系统维护，进水是否畅通，出渣是否畅通，二次沉淀是否正常，放油是否顺畅，出水是否正常，各电气元件是否正常，光电开关是否正常，除渣系统是否正常，水泵是否噪音，各紧固件是否松动等。</w:t>
      </w:r>
    </w:p>
    <w:p w14:paraId="752414A7">
      <w:pPr>
        <w:spacing w:line="520" w:lineRule="exact"/>
        <w:ind w:firstLine="420" w:firstLineChars="20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4、每一年</w:t>
      </w:r>
      <w:r>
        <w:rPr>
          <w:rFonts w:hint="eastAsia" w:ascii="仿宋" w:hAnsi="仿宋" w:eastAsia="仿宋" w:cs="仿宋"/>
          <w:sz w:val="21"/>
          <w:szCs w:val="21"/>
          <w:lang w:eastAsia="zh-CN"/>
        </w:rPr>
        <w:t>三</w:t>
      </w:r>
      <w:r>
        <w:rPr>
          <w:rFonts w:hint="eastAsia" w:ascii="仿宋" w:hAnsi="仿宋" w:eastAsia="仿宋" w:cs="仿宋"/>
          <w:sz w:val="21"/>
          <w:szCs w:val="21"/>
        </w:rPr>
        <w:t>次大保养（使用吸粪车将设备内部残渣清理干净，内部不留残渣），其中包括对设备机件的安全及检查调整，清洗疏通，设置、调整操作等以使设备正常无隐患安全运行。</w:t>
      </w:r>
    </w:p>
    <w:p w14:paraId="7E53577E">
      <w:pPr>
        <w:spacing w:line="520" w:lineRule="exact"/>
        <w:ind w:firstLine="422" w:firstLineChars="200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其他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t>要求</w:t>
      </w:r>
    </w:p>
    <w:p w14:paraId="1E24F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1、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接到采购方报修后须在2小时内到场。一般故障2小时解决；严重故障无法现场处理的设备与采购方设备使用、管理人员沟通并联系相关人员，确保二日之内解决故障：二日内无法解决的，应提供详细的解释说明及资料支持，否则采购方有权请求第三方进行维修，由此产生的费用由中标单位承担。</w:t>
      </w:r>
    </w:p>
    <w:p w14:paraId="39C38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2、维保单位保证每月至少四次到达设备现场，为采购方检査所有设备使用情况。</w:t>
      </w:r>
    </w:p>
    <w:p w14:paraId="5AF60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3、接到采购方报修通知时，维保单位应及时做好设备型号、报修设备出现的故障现象等，做好报修台账登记并及时通知技术人员到场解决。保证设备在正常使用中，防止设备出现大的故障。</w:t>
      </w:r>
    </w:p>
    <w:p w14:paraId="34C33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20" w:leftChars="0" w:right="0" w:rightChars="0" w:firstLine="0" w:firstLineChars="0"/>
        <w:jc w:val="both"/>
        <w:textAlignment w:val="auto"/>
        <w:outlineLvl w:val="9"/>
        <w:rPr>
          <w:rFonts w:hint="default" w:ascii="仿宋" w:hAnsi="仿宋" w:eastAsia="仿宋" w:cs="仿宋"/>
          <w:b/>
          <w:bCs/>
          <w:sz w:val="16"/>
          <w:szCs w:val="1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四、设备情况</w:t>
      </w:r>
    </w:p>
    <w:tbl>
      <w:tblPr>
        <w:tblStyle w:val="4"/>
        <w:tblW w:w="85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707"/>
        <w:gridCol w:w="813"/>
        <w:gridCol w:w="2987"/>
        <w:gridCol w:w="1413"/>
        <w:gridCol w:w="960"/>
      </w:tblGrid>
      <w:tr w14:paraId="0B643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1" w:type="dxa"/>
            <w:vAlign w:val="center"/>
          </w:tcPr>
          <w:p w14:paraId="3DFF7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707" w:type="dxa"/>
            <w:vAlign w:val="center"/>
          </w:tcPr>
          <w:p w14:paraId="7D047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单位</w:t>
            </w:r>
          </w:p>
        </w:tc>
        <w:tc>
          <w:tcPr>
            <w:tcW w:w="813" w:type="dxa"/>
            <w:vAlign w:val="center"/>
          </w:tcPr>
          <w:p w14:paraId="40014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数量</w:t>
            </w:r>
          </w:p>
        </w:tc>
        <w:tc>
          <w:tcPr>
            <w:tcW w:w="2987" w:type="dxa"/>
            <w:vAlign w:val="center"/>
          </w:tcPr>
          <w:p w14:paraId="4396E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设备技术参数</w:t>
            </w:r>
          </w:p>
        </w:tc>
        <w:tc>
          <w:tcPr>
            <w:tcW w:w="1413" w:type="dxa"/>
            <w:vAlign w:val="center"/>
          </w:tcPr>
          <w:p w14:paraId="2DB31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960" w:type="dxa"/>
            <w:vAlign w:val="center"/>
          </w:tcPr>
          <w:p w14:paraId="2935E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设备安装时间</w:t>
            </w:r>
          </w:p>
        </w:tc>
      </w:tr>
      <w:tr w14:paraId="79252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1" w:type="dxa"/>
            <w:vMerge w:val="restart"/>
            <w:vAlign w:val="center"/>
          </w:tcPr>
          <w:p w14:paraId="22E3D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除渣+污水提升设备</w:t>
            </w:r>
          </w:p>
        </w:tc>
        <w:tc>
          <w:tcPr>
            <w:tcW w:w="707" w:type="dxa"/>
            <w:vMerge w:val="restart"/>
            <w:vAlign w:val="center"/>
          </w:tcPr>
          <w:p w14:paraId="2F7B3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套</w:t>
            </w:r>
          </w:p>
        </w:tc>
        <w:tc>
          <w:tcPr>
            <w:tcW w:w="813" w:type="dxa"/>
            <w:vMerge w:val="restart"/>
            <w:vAlign w:val="center"/>
          </w:tcPr>
          <w:p w14:paraId="6EBD0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987" w:type="dxa"/>
            <w:vAlign w:val="center"/>
          </w:tcPr>
          <w:p w14:paraId="0B5C99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流量：45m³/h;</w:t>
            </w:r>
          </w:p>
          <w:p w14:paraId="6257F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扬程：15m;</w:t>
            </w:r>
          </w:p>
          <w:p w14:paraId="027D17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单泵功率：5.5KW;</w:t>
            </w:r>
          </w:p>
          <w:p w14:paraId="3F12BA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尺寸：2000*2000*1500（mm）</w:t>
            </w:r>
          </w:p>
        </w:tc>
        <w:tc>
          <w:tcPr>
            <w:tcW w:w="1413" w:type="dxa"/>
            <w:vAlign w:val="center"/>
          </w:tcPr>
          <w:p w14:paraId="3ADE6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拓南</w:t>
            </w:r>
          </w:p>
        </w:tc>
        <w:tc>
          <w:tcPr>
            <w:tcW w:w="960" w:type="dxa"/>
            <w:vMerge w:val="restart"/>
            <w:vAlign w:val="center"/>
          </w:tcPr>
          <w:p w14:paraId="35E3D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2019年</w:t>
            </w:r>
          </w:p>
        </w:tc>
      </w:tr>
      <w:tr w14:paraId="465E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1" w:type="dxa"/>
            <w:vMerge w:val="continue"/>
            <w:vAlign w:val="center"/>
          </w:tcPr>
          <w:p w14:paraId="39054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07" w:type="dxa"/>
            <w:vMerge w:val="continue"/>
            <w:vAlign w:val="center"/>
          </w:tcPr>
          <w:p w14:paraId="5D500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321A0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87" w:type="dxa"/>
            <w:vAlign w:val="center"/>
          </w:tcPr>
          <w:p w14:paraId="2DBDE3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Q=50T/H;H=20M;N=7.5KW;</w:t>
            </w:r>
          </w:p>
          <w:p w14:paraId="6852E3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尺寸：2200*1600*1400mm</w:t>
            </w:r>
          </w:p>
        </w:tc>
        <w:tc>
          <w:tcPr>
            <w:tcW w:w="1413" w:type="dxa"/>
            <w:vAlign w:val="center"/>
          </w:tcPr>
          <w:p w14:paraId="7868B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TNWT-50/2</w:t>
            </w:r>
          </w:p>
        </w:tc>
        <w:tc>
          <w:tcPr>
            <w:tcW w:w="960" w:type="dxa"/>
            <w:vMerge w:val="continue"/>
            <w:vAlign w:val="center"/>
          </w:tcPr>
          <w:p w14:paraId="2D66F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6354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681" w:type="dxa"/>
            <w:vMerge w:val="restart"/>
            <w:vAlign w:val="center"/>
          </w:tcPr>
          <w:p w14:paraId="506E4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高效隔油设备</w:t>
            </w:r>
          </w:p>
        </w:tc>
        <w:tc>
          <w:tcPr>
            <w:tcW w:w="707" w:type="dxa"/>
            <w:vMerge w:val="restart"/>
            <w:vAlign w:val="center"/>
          </w:tcPr>
          <w:p w14:paraId="2CE89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套</w:t>
            </w:r>
          </w:p>
        </w:tc>
        <w:tc>
          <w:tcPr>
            <w:tcW w:w="813" w:type="dxa"/>
            <w:vMerge w:val="restart"/>
            <w:vAlign w:val="center"/>
          </w:tcPr>
          <w:p w14:paraId="142E6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987" w:type="dxa"/>
            <w:vAlign w:val="center"/>
          </w:tcPr>
          <w:p w14:paraId="3B97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流量：45m³/h;</w:t>
            </w:r>
          </w:p>
          <w:p w14:paraId="394732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尺寸：2800*1200*1700（mm）</w:t>
            </w:r>
          </w:p>
        </w:tc>
        <w:tc>
          <w:tcPr>
            <w:tcW w:w="1413" w:type="dxa"/>
            <w:vAlign w:val="center"/>
          </w:tcPr>
          <w:p w14:paraId="1FDA6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拓南</w:t>
            </w:r>
          </w:p>
        </w:tc>
        <w:tc>
          <w:tcPr>
            <w:tcW w:w="960" w:type="dxa"/>
            <w:vMerge w:val="restart"/>
            <w:vAlign w:val="center"/>
          </w:tcPr>
          <w:p w14:paraId="2B4F1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2020年</w:t>
            </w:r>
          </w:p>
        </w:tc>
      </w:tr>
      <w:tr w14:paraId="2429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681" w:type="dxa"/>
            <w:vMerge w:val="continue"/>
            <w:vAlign w:val="center"/>
          </w:tcPr>
          <w:p w14:paraId="7AF0A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07" w:type="dxa"/>
            <w:vMerge w:val="continue"/>
            <w:vAlign w:val="center"/>
          </w:tcPr>
          <w:p w14:paraId="5C64A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6DC3D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87" w:type="dxa"/>
            <w:vAlign w:val="center"/>
          </w:tcPr>
          <w:p w14:paraId="03600D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1.流量：50m³/h;</w:t>
            </w:r>
          </w:p>
          <w:p w14:paraId="3E05D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2.尺寸：3100*900*1500（mm）</w:t>
            </w:r>
          </w:p>
        </w:tc>
        <w:tc>
          <w:tcPr>
            <w:tcW w:w="1413" w:type="dxa"/>
            <w:vAlign w:val="center"/>
          </w:tcPr>
          <w:p w14:paraId="03E25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拓南</w:t>
            </w:r>
          </w:p>
        </w:tc>
        <w:tc>
          <w:tcPr>
            <w:tcW w:w="960" w:type="dxa"/>
            <w:vMerge w:val="continue"/>
            <w:vAlign w:val="center"/>
          </w:tcPr>
          <w:p w14:paraId="6A142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7E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681" w:type="dxa"/>
            <w:vMerge w:val="continue"/>
            <w:vAlign w:val="center"/>
          </w:tcPr>
          <w:p w14:paraId="24169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07" w:type="dxa"/>
            <w:vMerge w:val="continue"/>
            <w:vAlign w:val="center"/>
          </w:tcPr>
          <w:p w14:paraId="66BF1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4EDCC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87" w:type="dxa"/>
            <w:vAlign w:val="center"/>
          </w:tcPr>
          <w:p w14:paraId="0F7496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Q=50T/H;N=6KW;</w:t>
            </w:r>
          </w:p>
          <w:p w14:paraId="49A722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尺寸：3500*900*1700（mm）</w:t>
            </w:r>
          </w:p>
        </w:tc>
        <w:tc>
          <w:tcPr>
            <w:tcW w:w="1413" w:type="dxa"/>
            <w:vAlign w:val="center"/>
          </w:tcPr>
          <w:p w14:paraId="02714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TNGY(T)-50/2S</w:t>
            </w:r>
          </w:p>
        </w:tc>
        <w:tc>
          <w:tcPr>
            <w:tcW w:w="960" w:type="dxa"/>
            <w:vMerge w:val="continue"/>
            <w:vAlign w:val="center"/>
          </w:tcPr>
          <w:p w14:paraId="5057A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086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681" w:type="dxa"/>
            <w:vMerge w:val="continue"/>
            <w:vAlign w:val="center"/>
          </w:tcPr>
          <w:p w14:paraId="5F0AE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07" w:type="dxa"/>
            <w:vMerge w:val="continue"/>
            <w:vAlign w:val="center"/>
          </w:tcPr>
          <w:p w14:paraId="63556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3" w:type="dxa"/>
            <w:vMerge w:val="continue"/>
            <w:vAlign w:val="center"/>
          </w:tcPr>
          <w:p w14:paraId="2BF4D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987" w:type="dxa"/>
            <w:vAlign w:val="center"/>
          </w:tcPr>
          <w:p w14:paraId="15F43D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Q=50T/H;N=6KW;</w:t>
            </w:r>
          </w:p>
          <w:p w14:paraId="6C5C38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尺寸：2800*1200*1700（mm）</w:t>
            </w:r>
          </w:p>
        </w:tc>
        <w:tc>
          <w:tcPr>
            <w:tcW w:w="1413" w:type="dxa"/>
            <w:vAlign w:val="center"/>
          </w:tcPr>
          <w:p w14:paraId="33A5C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TNGY(T)-50/2</w:t>
            </w:r>
          </w:p>
        </w:tc>
        <w:tc>
          <w:tcPr>
            <w:tcW w:w="960" w:type="dxa"/>
            <w:vMerge w:val="continue"/>
            <w:vAlign w:val="center"/>
          </w:tcPr>
          <w:p w14:paraId="72C67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5577887D">
      <w:pPr>
        <w:spacing w:line="240" w:lineRule="auto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D16402F-675F-4ED3-AA5E-B1CB947CB00A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B57BD1B-EEE1-4656-9DFC-627F0FBE765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0131DF"/>
    <w:multiLevelType w:val="singleLevel"/>
    <w:tmpl w:val="C10131D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5A700AE"/>
    <w:multiLevelType w:val="singleLevel"/>
    <w:tmpl w:val="55A700A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6499293"/>
    <w:multiLevelType w:val="singleLevel"/>
    <w:tmpl w:val="56499293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5659FF0D"/>
    <w:multiLevelType w:val="singleLevel"/>
    <w:tmpl w:val="5659FF0D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5B78A15A"/>
    <w:multiLevelType w:val="singleLevel"/>
    <w:tmpl w:val="5B78A15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C4EF8EE"/>
    <w:multiLevelType w:val="singleLevel"/>
    <w:tmpl w:val="6C4EF8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145780"/>
    <w:rsid w:val="4A4660B6"/>
    <w:rsid w:val="4B3C2D5F"/>
    <w:rsid w:val="7067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2025-04-24T07:33:59Z</dcterms:created>
  <dc:creator>Administrator</dc:creator>
  <cp:lastModifiedBy>Lulu</cp:lastModifiedBy>
  <dcterms:modified xsi:type="dcterms:W3CDTF">2025-04-24T08:49:02Z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0E054CC484BB41218E0C21A42870038B_12</vt:lpwstr>
  </property>
</Properties>
</file>